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0552EE" w14:textId="77777777" w:rsidR="00015B8B" w:rsidRDefault="00015B8B" w:rsidP="00866C61">
      <w:pPr>
        <w:jc w:val="center"/>
        <w:rPr>
          <w:noProof/>
        </w:rPr>
      </w:pPr>
      <w:r>
        <w:rPr>
          <w:noProof/>
          <w:lang w:eastAsia="en-GB"/>
        </w:rPr>
        <w:drawing>
          <wp:inline distT="0" distB="0" distL="0" distR="0" wp14:anchorId="71179445" wp14:editId="439EC9F0">
            <wp:extent cx="1112520" cy="1112520"/>
            <wp:effectExtent l="0" t="0" r="0" b="0"/>
            <wp:docPr id="7" name="Picture 7" descr="Logo, company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company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12520" cy="1112520"/>
                    </a:xfrm>
                    <a:prstGeom prst="rect">
                      <a:avLst/>
                    </a:prstGeom>
                  </pic:spPr>
                </pic:pic>
              </a:graphicData>
            </a:graphic>
          </wp:inline>
        </w:drawing>
      </w:r>
    </w:p>
    <w:p w14:paraId="764B62D4" w14:textId="77777777" w:rsidR="00015B8B" w:rsidRDefault="00015B8B" w:rsidP="009054B8">
      <w:pPr>
        <w:pStyle w:val="Heading1"/>
      </w:pPr>
    </w:p>
    <w:p w14:paraId="451B4E36" w14:textId="77777777" w:rsidR="009054B8" w:rsidRDefault="009054B8" w:rsidP="009054B8">
      <w:pPr>
        <w:pStyle w:val="Heading1"/>
      </w:pPr>
      <w:r>
        <w:t>Keele Critically Appraised Top</w:t>
      </w:r>
      <w:r w:rsidR="001B3262">
        <w:t>i</w:t>
      </w:r>
      <w:r>
        <w:t>c (CAT Form)</w:t>
      </w:r>
    </w:p>
    <w:p w14:paraId="4394365F" w14:textId="77777777" w:rsidR="009054B8" w:rsidRPr="009054B8" w:rsidRDefault="009054B8" w:rsidP="009054B8"/>
    <w:p w14:paraId="715D9AA7" w14:textId="77777777" w:rsidR="009054B8" w:rsidRDefault="00015B8B" w:rsidP="009054B8">
      <w:r w:rsidRPr="00F93FCE">
        <w:rPr>
          <w:noProof/>
          <w:lang w:eastAsia="en-GB"/>
        </w:rPr>
        <mc:AlternateContent>
          <mc:Choice Requires="wps">
            <w:drawing>
              <wp:inline distT="0" distB="0" distL="0" distR="0" wp14:anchorId="05D91F22" wp14:editId="32DE483B">
                <wp:extent cx="5669280" cy="730250"/>
                <wp:effectExtent l="0" t="0" r="26670" b="1270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730250"/>
                        </a:xfrm>
                        <a:prstGeom prst="rect">
                          <a:avLst/>
                        </a:prstGeom>
                        <a:solidFill>
                          <a:srgbClr val="FFFFFF"/>
                        </a:solidFill>
                        <a:ln w="9525">
                          <a:solidFill>
                            <a:srgbClr val="000000"/>
                          </a:solidFill>
                          <a:miter lim="800000"/>
                          <a:headEnd/>
                          <a:tailEnd/>
                        </a:ln>
                      </wps:spPr>
                      <wps:txbx>
                        <w:txbxContent>
                          <w:p w14:paraId="31FD2B86" w14:textId="5C21A05B" w:rsidR="009054B8" w:rsidRPr="00992095" w:rsidRDefault="00E36B4C" w:rsidP="00E36B4C">
                            <w:pPr>
                              <w:jc w:val="center"/>
                            </w:pPr>
                            <w:r w:rsidRPr="00DB3B62">
                              <w:rPr>
                                <w:noProof/>
                                <w:lang w:eastAsia="en-GB"/>
                              </w:rPr>
                              <w:drawing>
                                <wp:inline distT="0" distB="0" distL="0" distR="0" wp14:anchorId="11119808" wp14:editId="7C4F5636">
                                  <wp:extent cx="694055" cy="499827"/>
                                  <wp:effectExtent l="0" t="0" r="0" b="0"/>
                                  <wp:docPr id="8" name="Picture 8" descr="This is an orange cat with an indifferent face" title="Orange c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6394" cy="52311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inline>
            </w:drawing>
          </mc:Choice>
          <mc:Fallback>
            <w:pict>
              <v:shapetype w14:anchorId="05D91F22" id="_x0000_t202" coordsize="21600,21600" o:spt="202" path="m,l,21600r21600,l21600,xe">
                <v:stroke joinstyle="miter"/>
                <v:path gradientshapeok="t" o:connecttype="rect"/>
              </v:shapetype>
              <v:shape id="Text Box 2" o:spid="_x0000_s1026" type="#_x0000_t202" style="width:446.4pt;height: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">
                <v:textbox>
                  <w:txbxContent>
                    <w:p w14:paraId="31FD2B86" w14:textId="5C21A05B" w:rsidR="009054B8" w:rsidRPr="00992095" w:rsidRDefault="00E36B4C" w:rsidP="00E36B4C">
                      <w:pPr>
                        <w:jc w:val="center"/>
                      </w:pPr>
                      <w:r w:rsidRPr="00DB3B62">
                        <w:rPr>
                          <w:noProof/>
                          <w:lang w:eastAsia="en-GB"/>
                        </w:rPr>
                        <w:drawing>
                          <wp:inline distT="0" distB="0" distL="0" distR="0" wp14:anchorId="11119808" wp14:editId="7C4F5636">
                            <wp:extent cx="694055" cy="499827"/>
                            <wp:effectExtent l="0" t="0" r="0" b="0"/>
                            <wp:docPr id="8" name="Picture 8" descr="This is an orange cat with an indifferent face" title="Orange c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6394" cy="523116"/>
                                    </a:xfrm>
                                    <a:prstGeom prst="rect">
                                      <a:avLst/>
                                    </a:prstGeom>
                                    <a:noFill/>
                                    <a:ln>
                                      <a:noFill/>
                                    </a:ln>
                                  </pic:spPr>
                                </pic:pic>
                              </a:graphicData>
                            </a:graphic>
                          </wp:inline>
                        </w:drawing>
                      </w:r>
                    </w:p>
                  </w:txbxContent>
                </v:textbox>
                <w10:anchorlock/>
              </v:shape>
            </w:pict>
          </mc:Fallback>
        </mc:AlternateContent>
      </w:r>
      <w:r w:rsidR="009054B8" w:rsidRPr="00F93FCE">
        <w:rPr>
          <w:noProof/>
          <w:lang w:eastAsia="en-GB"/>
        </w:rPr>
        <mc:AlternateContent>
          <mc:Choice Requires="wps">
            <w:drawing>
              <wp:inline distT="0" distB="0" distL="0" distR="0" wp14:anchorId="1821D833" wp14:editId="5A1D7553">
                <wp:extent cx="5669280" cy="966652"/>
                <wp:effectExtent l="0" t="0" r="26670" b="2413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966652"/>
                        </a:xfrm>
                        <a:prstGeom prst="rect">
                          <a:avLst/>
                        </a:prstGeom>
                        <a:solidFill>
                          <a:srgbClr val="FFFFFF"/>
                        </a:solidFill>
                        <a:ln w="9525">
                          <a:solidFill>
                            <a:srgbClr val="000000"/>
                          </a:solidFill>
                          <a:miter lim="800000"/>
                          <a:headEnd/>
                          <a:tailEnd/>
                        </a:ln>
                      </wps:spPr>
                      <wps:txbx>
                        <w:txbxContent>
                          <w:p w14:paraId="1752B498" w14:textId="77777777" w:rsidR="009054B8" w:rsidRDefault="009054B8" w:rsidP="009054B8">
                            <w:pPr>
                              <w:pStyle w:val="Heading2"/>
                            </w:pPr>
                            <w:r>
                              <w:t>Clinical Question</w:t>
                            </w:r>
                          </w:p>
                          <w:p w14:paraId="5AE6EB95" w14:textId="12E114DE" w:rsidR="009054B8" w:rsidRPr="00992095" w:rsidRDefault="00FC1735" w:rsidP="009054B8">
                            <w:r>
                              <w:t xml:space="preserve">Is </w:t>
                            </w:r>
                            <w:r w:rsidR="00754464">
                              <w:t>it safe for</w:t>
                            </w:r>
                            <w:r w:rsidR="00BB4043">
                              <w:t xml:space="preserve"> adults</w:t>
                            </w:r>
                            <w:r w:rsidR="00754464">
                              <w:t xml:space="preserve"> to drive after receiving a corticosteroid </w:t>
                            </w:r>
                            <w:r w:rsidR="00E82163">
                              <w:t>injection (CSI)</w:t>
                            </w:r>
                            <w:r w:rsidR="00BB4043">
                              <w:t xml:space="preserve"> in a musculoskeletal out patient setting</w:t>
                            </w:r>
                            <w:r w:rsidR="00E82163">
                              <w:t>?</w:t>
                            </w:r>
                          </w:p>
                        </w:txbxContent>
                      </wps:txbx>
                      <wps:bodyPr rot="0" vert="horz" wrap="square" lIns="91440" tIns="45720" rIns="91440" bIns="45720" anchor="t" anchorCtr="0">
                        <a:noAutofit/>
                      </wps:bodyPr>
                    </wps:wsp>
                  </a:graphicData>
                </a:graphic>
              </wp:inline>
            </w:drawing>
          </mc:Choice>
          <mc:Fallback>
            <w:pict>
              <v:shape w14:anchorId="1821D833" id="_x0000_s1027" type="#_x0000_t202" style="width:446.4pt;height:7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">
                <v:textbox>
                  <w:txbxContent>
                    <w:p w14:paraId="1752B498" w14:textId="77777777" w:rsidR="009054B8" w:rsidRDefault="009054B8" w:rsidP="009054B8">
                      <w:pPr>
                        <w:pStyle w:val="Heading2"/>
                      </w:pPr>
                      <w:r>
                        <w:t>Clinical Question</w:t>
                      </w:r>
                    </w:p>
                    <w:p w14:paraId="5AE6EB95" w14:textId="12E114DE" w:rsidR="009054B8" w:rsidRPr="00992095" w:rsidRDefault="00FC1735" w:rsidP="009054B8">
                      <w:r>
                        <w:t xml:space="preserve">Is </w:t>
                      </w:r>
                      <w:r w:rsidR="00754464">
                        <w:t>it safe for</w:t>
                      </w:r>
                      <w:r w:rsidR="00BB4043">
                        <w:t xml:space="preserve"> adults</w:t>
                      </w:r>
                      <w:r w:rsidR="00754464">
                        <w:t xml:space="preserve"> to drive after receiving a corticosteroid </w:t>
                      </w:r>
                      <w:r w:rsidR="00E82163">
                        <w:t>injection (CSI)</w:t>
                      </w:r>
                      <w:r w:rsidR="00BB4043">
                        <w:t xml:space="preserve"> in a musculoskeletal out patient setting</w:t>
                      </w:r>
                      <w:r w:rsidR="00E82163">
                        <w:t>?</w:t>
                      </w:r>
                    </w:p>
                  </w:txbxContent>
                </v:textbox>
                <w10:anchorlock/>
              </v:shape>
            </w:pict>
          </mc:Fallback>
        </mc:AlternateContent>
      </w:r>
    </w:p>
    <w:p w14:paraId="2F02E816" w14:textId="77777777" w:rsidR="009054B8" w:rsidRDefault="009054B8" w:rsidP="009054B8"/>
    <w:p w14:paraId="1D8E71BB" w14:textId="215652E2" w:rsidR="009054B8" w:rsidRDefault="009054B8" w:rsidP="009054B8">
      <w:pPr>
        <w:pStyle w:val="Heading2"/>
      </w:pPr>
      <w:r>
        <w:t>Clinical bottom line</w:t>
      </w:r>
    </w:p>
    <w:p w14:paraId="07B67608" w14:textId="320C5C8F" w:rsidR="001C00FA" w:rsidRDefault="001C00FA" w:rsidP="001C00FA">
      <w:r>
        <w:t xml:space="preserve">There is currently no high-quality research available to address this Critical </w:t>
      </w:r>
      <w:r w:rsidR="0081693A">
        <w:t xml:space="preserve">Appraised Topic (CAT) question. </w:t>
      </w:r>
      <w:r>
        <w:t xml:space="preserve">The responsibility for advising patients on their ability to drive after receiving a corticosteroid injection (CSI) remains unclear.  As part of shared decision-making, it is crucial to inform patients that they may not feel safe to drive post </w:t>
      </w:r>
      <w:r w:rsidR="00BB32E8">
        <w:t>corticosteroid injection,</w:t>
      </w:r>
      <w:r>
        <w:t xml:space="preserve"> may not be insured, and should therefore arrange for someone to accompany them to their appointment.</w:t>
      </w:r>
    </w:p>
    <w:p w14:paraId="73493D57" w14:textId="1AAEE15A" w:rsidR="001C00FA" w:rsidRPr="001C00FA" w:rsidRDefault="001C00FA" w:rsidP="001C00FA">
      <w:r>
        <w:t>The guidance needs to be consistent across the entire injection pathway to ensure that every patient receives the same level of care, regardless of where they are treated.</w:t>
      </w:r>
    </w:p>
    <w:p w14:paraId="32F78C6D" w14:textId="77777777" w:rsidR="00966150" w:rsidRDefault="00966150" w:rsidP="009054B8">
      <w:pPr>
        <w:pStyle w:val="Heading2"/>
      </w:pPr>
      <w:r>
        <w:t>Plain Language Summary</w:t>
      </w:r>
    </w:p>
    <w:p w14:paraId="5DD31361" w14:textId="7CE87413" w:rsidR="00966150" w:rsidRDefault="0081693A" w:rsidP="00966150">
      <w:r>
        <w:t>There is no</w:t>
      </w:r>
      <w:r w:rsidR="001C00FA" w:rsidRPr="00BB32E8">
        <w:t xml:space="preserve"> good </w:t>
      </w:r>
      <w:r w:rsidR="00BB32E8" w:rsidRPr="00BB32E8">
        <w:t xml:space="preserve">quality </w:t>
      </w:r>
      <w:r w:rsidR="001C00FA" w:rsidRPr="00BB32E8">
        <w:t>research</w:t>
      </w:r>
      <w:r w:rsidR="001C00FA">
        <w:t xml:space="preserve"> to answer this question about driving after a corticosteroid injection (CSI). It is unclear who should tell the patient if they could drive after the injection. Patients need to know they might not feel safe to drive, might not be insured, and should bring someone with them to the appointment.</w:t>
      </w:r>
    </w:p>
    <w:p w14:paraId="396151D8" w14:textId="76AFF45B" w:rsidR="001C00FA" w:rsidRDefault="001C00FA" w:rsidP="00966150">
      <w:r>
        <w:t>This advice needs to be</w:t>
      </w:r>
      <w:r w:rsidR="00BB32E8">
        <w:t xml:space="preserve"> available </w:t>
      </w:r>
      <w:r w:rsidR="0081693A">
        <w:t>and consistent in healthcare settings w</w:t>
      </w:r>
      <w:r w:rsidR="00BB32E8">
        <w:t>here</w:t>
      </w:r>
      <w:r w:rsidR="0081693A">
        <w:t xml:space="preserve"> corticosteroid steroid </w:t>
      </w:r>
      <w:r w:rsidR="00BB32E8">
        <w:t>injections are offered</w:t>
      </w:r>
      <w:r w:rsidR="0081693A">
        <w:t>.</w:t>
      </w:r>
    </w:p>
    <w:p w14:paraId="059B4BA8" w14:textId="77777777" w:rsidR="009054B8" w:rsidRDefault="009054B8" w:rsidP="009054B8">
      <w:pPr>
        <w:pStyle w:val="Heading2"/>
      </w:pPr>
      <w:r>
        <w:t>Why is this important?</w:t>
      </w:r>
    </w:p>
    <w:p w14:paraId="3B726DA5" w14:textId="7104796C" w:rsidR="008B0658" w:rsidRDefault="00754464" w:rsidP="00754464">
      <w:r>
        <w:t>There is</w:t>
      </w:r>
      <w:r w:rsidR="001C00FA">
        <w:t xml:space="preserve"> notably</w:t>
      </w:r>
      <w:r>
        <w:t xml:space="preserve"> inconsistency in clinical practice </w:t>
      </w:r>
      <w:r w:rsidR="001C00FA">
        <w:t xml:space="preserve">regrading the advice given to patients about driving </w:t>
      </w:r>
      <w:r>
        <w:t>after receiving a corticosteroid injection</w:t>
      </w:r>
      <w:r w:rsidR="00E82163">
        <w:t xml:space="preserve"> (CSI)</w:t>
      </w:r>
      <w:r w:rsidR="001C00FA">
        <w:t xml:space="preserve">, both locally and </w:t>
      </w:r>
      <w:r>
        <w:t>national</w:t>
      </w:r>
      <w:r w:rsidR="001970FE">
        <w:t>ly</w:t>
      </w:r>
      <w:r>
        <w:t xml:space="preserve"> and </w:t>
      </w:r>
      <w:r w:rsidR="001C00FA">
        <w:lastRenderedPageBreak/>
        <w:t xml:space="preserve">across </w:t>
      </w:r>
      <w:r>
        <w:t xml:space="preserve">different care settings. </w:t>
      </w:r>
      <w:r w:rsidR="001C00FA">
        <w:t xml:space="preserve"> We must consider whether </w:t>
      </w:r>
      <w:r>
        <w:t>advis</w:t>
      </w:r>
      <w:r w:rsidR="001C00FA">
        <w:t>ing</w:t>
      </w:r>
      <w:r>
        <w:t xml:space="preserve"> patients to</w:t>
      </w:r>
      <w:r w:rsidR="001C00FA">
        <w:t xml:space="preserve"> have someone drive them home after an injection is best practice or if it unnecessarily adds to their burden and delays. </w:t>
      </w:r>
    </w:p>
    <w:p w14:paraId="18C7A700" w14:textId="2D18632C" w:rsidR="001C00FA" w:rsidRDefault="008B0658" w:rsidP="00754464">
      <w:r>
        <w:t>The DVLA (Drivers&amp; Vehicle</w:t>
      </w:r>
      <w:r w:rsidR="001C00FA">
        <w:t xml:space="preserve">s Licencing Agency) guidance for healthcare professionals on driving (2024) outlines several requirements for safe driving, including </w:t>
      </w:r>
      <w:r w:rsidR="00F62174">
        <w:t>good reaction times, muscle power and control, co-ordination and sensation</w:t>
      </w:r>
      <w:r w:rsidR="001C00FA">
        <w:t xml:space="preserve">.  However, it does not provide specific guidance on driving after an injection. It does however, emphasise that drivers must ensure they are covered by their </w:t>
      </w:r>
      <w:r w:rsidR="00C85E01">
        <w:t xml:space="preserve">insurance </w:t>
      </w:r>
      <w:r w:rsidR="001C00FA">
        <w:t>policy.</w:t>
      </w:r>
    </w:p>
    <w:p w14:paraId="7CB027F4" w14:textId="794712A2" w:rsidR="00C85E01" w:rsidRDefault="001C00FA" w:rsidP="00754464">
      <w:r>
        <w:t xml:space="preserve">Given the multitude of insurance companies in the United Kingdom, it is impractical for clinicians to be familiar with each policy. Therefore, we sought to explore if any research could help us provide additional informed advice to patients regarding their safety to drive after a CSI. </w:t>
      </w:r>
    </w:p>
    <w:p w14:paraId="17252A49" w14:textId="747B477A" w:rsidR="009054B8" w:rsidRDefault="00BB4043" w:rsidP="00754464">
      <w:r>
        <w:t>Search timeframe (</w:t>
      </w:r>
      <w:r w:rsidR="00C257A1">
        <w:t>2014-2024</w:t>
      </w:r>
      <w:r w:rsidR="009054B8">
        <w:t>)</w:t>
      </w:r>
    </w:p>
    <w:p w14:paraId="7681B68D" w14:textId="77777777" w:rsidR="009054B8" w:rsidRDefault="00B352F4" w:rsidP="009054B8">
      <w:pPr>
        <w:pStyle w:val="Heading2"/>
      </w:pPr>
      <w:r>
        <w:t>Search c</w:t>
      </w:r>
      <w:r w:rsidR="009054B8">
        <w:t>riteria</w:t>
      </w:r>
    </w:p>
    <w:p w14:paraId="69454771" w14:textId="77777777" w:rsidR="00B352F4" w:rsidRPr="00B352F4" w:rsidRDefault="00B352F4" w:rsidP="00B352F4"/>
    <w:tbl>
      <w:tblPr>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3402"/>
        <w:gridCol w:w="2977"/>
      </w:tblGrid>
      <w:tr w:rsidR="009054B8" w14:paraId="16549694" w14:textId="77777777" w:rsidTr="00015B8B">
        <w:tc>
          <w:tcPr>
            <w:tcW w:w="2410" w:type="dxa"/>
            <w:shd w:val="clear" w:color="auto" w:fill="auto"/>
          </w:tcPr>
          <w:p w14:paraId="21D29C95" w14:textId="77777777" w:rsidR="009054B8" w:rsidRPr="00015B8B" w:rsidRDefault="00B352F4" w:rsidP="00B352F4">
            <w:pPr>
              <w:rPr>
                <w:b/>
                <w:color w:val="000000" w:themeColor="text1"/>
              </w:rPr>
            </w:pPr>
            <w:r>
              <w:rPr>
                <w:b/>
                <w:color w:val="000000" w:themeColor="text1"/>
              </w:rPr>
              <w:t>Population Intervention Comparison Outcomes (PICO) themes</w:t>
            </w:r>
          </w:p>
        </w:tc>
        <w:tc>
          <w:tcPr>
            <w:tcW w:w="3402" w:type="dxa"/>
            <w:shd w:val="clear" w:color="auto" w:fill="auto"/>
          </w:tcPr>
          <w:p w14:paraId="27CDD480" w14:textId="77777777" w:rsidR="009054B8" w:rsidRPr="00015B8B" w:rsidRDefault="009054B8" w:rsidP="007C1A9F">
            <w:pPr>
              <w:rPr>
                <w:b/>
                <w:color w:val="000000" w:themeColor="text1"/>
              </w:rPr>
            </w:pPr>
            <w:r w:rsidRPr="00015B8B">
              <w:rPr>
                <w:b/>
                <w:color w:val="000000" w:themeColor="text1"/>
              </w:rPr>
              <w:t>Description</w:t>
            </w:r>
          </w:p>
        </w:tc>
        <w:tc>
          <w:tcPr>
            <w:tcW w:w="2977" w:type="dxa"/>
            <w:shd w:val="clear" w:color="auto" w:fill="auto"/>
          </w:tcPr>
          <w:p w14:paraId="1E5DFA35" w14:textId="77777777" w:rsidR="009054B8" w:rsidRPr="00015B8B" w:rsidRDefault="009054B8" w:rsidP="007C1A9F">
            <w:pPr>
              <w:rPr>
                <w:b/>
                <w:color w:val="000000" w:themeColor="text1"/>
              </w:rPr>
            </w:pPr>
            <w:r w:rsidRPr="00015B8B">
              <w:rPr>
                <w:b/>
                <w:color w:val="000000" w:themeColor="text1"/>
              </w:rPr>
              <w:t>Search terms</w:t>
            </w:r>
          </w:p>
        </w:tc>
      </w:tr>
      <w:tr w:rsidR="009054B8" w14:paraId="709E475C" w14:textId="77777777" w:rsidTr="009054B8">
        <w:tc>
          <w:tcPr>
            <w:tcW w:w="2410" w:type="dxa"/>
          </w:tcPr>
          <w:p w14:paraId="0938A03C" w14:textId="6F8B67FA" w:rsidR="009054B8" w:rsidRPr="00B12AE2" w:rsidRDefault="00102460" w:rsidP="007C1A9F">
            <w:r>
              <w:t>Population</w:t>
            </w:r>
          </w:p>
        </w:tc>
        <w:tc>
          <w:tcPr>
            <w:tcW w:w="3402" w:type="dxa"/>
          </w:tcPr>
          <w:p w14:paraId="5C67CB6D" w14:textId="310A4F9B" w:rsidR="009054B8" w:rsidRPr="00267C70" w:rsidRDefault="00E82163" w:rsidP="00E82163">
            <w:r>
              <w:t>Adults receiving a corticosteroid injection (CSI) in</w:t>
            </w:r>
            <w:r w:rsidR="00102460">
              <w:t xml:space="preserve"> musculoskeletal out patient setting</w:t>
            </w:r>
          </w:p>
        </w:tc>
        <w:tc>
          <w:tcPr>
            <w:tcW w:w="2977" w:type="dxa"/>
          </w:tcPr>
          <w:p w14:paraId="5E9D8F6C" w14:textId="77777777" w:rsidR="00E82163" w:rsidRDefault="00E82163" w:rsidP="007C1A9F">
            <w:r>
              <w:t>Corticosteroid injection</w:t>
            </w:r>
          </w:p>
          <w:p w14:paraId="31CE88DE" w14:textId="20E961B9" w:rsidR="00E82163" w:rsidRDefault="00E82163" w:rsidP="007C1A9F">
            <w:r>
              <w:t>CSI</w:t>
            </w:r>
          </w:p>
          <w:p w14:paraId="3456C615" w14:textId="1314AC1E" w:rsidR="00102460" w:rsidRDefault="00102460" w:rsidP="007C1A9F">
            <w:r>
              <w:t>Steroid injection</w:t>
            </w:r>
          </w:p>
          <w:p w14:paraId="22662262" w14:textId="1DE4B35D" w:rsidR="00102460" w:rsidRDefault="00102460" w:rsidP="007C1A9F">
            <w:r>
              <w:t>Local anaesthetic injection</w:t>
            </w:r>
          </w:p>
          <w:p w14:paraId="69C1A803" w14:textId="0116FDE2" w:rsidR="00102460" w:rsidRDefault="00102460" w:rsidP="007C1A9F">
            <w:r>
              <w:t>Intra-articular injection</w:t>
            </w:r>
          </w:p>
          <w:p w14:paraId="6A168644" w14:textId="484EFBB3" w:rsidR="00102460" w:rsidRDefault="00102460" w:rsidP="007C1A9F">
            <w:r>
              <w:t>So</w:t>
            </w:r>
            <w:r w:rsidR="001970FE">
              <w:t>f</w:t>
            </w:r>
            <w:r>
              <w:t>t tissue injection</w:t>
            </w:r>
          </w:p>
          <w:p w14:paraId="14F40631" w14:textId="7824AB5A" w:rsidR="009054B8" w:rsidRPr="00267C70" w:rsidRDefault="009054B8" w:rsidP="007C1A9F"/>
        </w:tc>
      </w:tr>
      <w:tr w:rsidR="009054B8" w14:paraId="3EA31864" w14:textId="77777777" w:rsidTr="009054B8">
        <w:trPr>
          <w:trHeight w:val="500"/>
        </w:trPr>
        <w:tc>
          <w:tcPr>
            <w:tcW w:w="2410" w:type="dxa"/>
          </w:tcPr>
          <w:p w14:paraId="03249228" w14:textId="77777777" w:rsidR="009054B8" w:rsidRPr="00267C70" w:rsidRDefault="009054B8" w:rsidP="007C1A9F">
            <w:r w:rsidRPr="00267C70">
              <w:t xml:space="preserve">Intervention or Exposure </w:t>
            </w:r>
          </w:p>
          <w:p w14:paraId="1B9977DA" w14:textId="73D4F95E" w:rsidR="009054B8" w:rsidRPr="00267C70" w:rsidRDefault="009054B8" w:rsidP="007C1A9F"/>
        </w:tc>
        <w:tc>
          <w:tcPr>
            <w:tcW w:w="3402" w:type="dxa"/>
          </w:tcPr>
          <w:p w14:paraId="6997B6D1" w14:textId="4CFE9FD9" w:rsidR="009054B8" w:rsidRPr="00267C70" w:rsidRDefault="00102460" w:rsidP="00102460">
            <w:r>
              <w:t>Corticosteroid injection (CSI)</w:t>
            </w:r>
          </w:p>
        </w:tc>
        <w:tc>
          <w:tcPr>
            <w:tcW w:w="2977" w:type="dxa"/>
          </w:tcPr>
          <w:p w14:paraId="549E999B" w14:textId="77777777" w:rsidR="00102460" w:rsidRDefault="00102460" w:rsidP="00102460">
            <w:r>
              <w:t>Corticosteroid injection</w:t>
            </w:r>
          </w:p>
          <w:p w14:paraId="6377AB18" w14:textId="77777777" w:rsidR="00102460" w:rsidRDefault="00102460" w:rsidP="00102460">
            <w:r>
              <w:t>CSI</w:t>
            </w:r>
          </w:p>
          <w:p w14:paraId="00EBA51E" w14:textId="77777777" w:rsidR="00102460" w:rsidRDefault="00102460" w:rsidP="00102460">
            <w:r>
              <w:t>Steroid injection</w:t>
            </w:r>
          </w:p>
          <w:p w14:paraId="6B2A2ADD" w14:textId="77777777" w:rsidR="00102460" w:rsidRDefault="00102460" w:rsidP="00102460">
            <w:r>
              <w:t>Local anaesthetic injection</w:t>
            </w:r>
          </w:p>
          <w:p w14:paraId="4BBB5E9D" w14:textId="77777777" w:rsidR="00102460" w:rsidRDefault="00102460" w:rsidP="00102460">
            <w:r>
              <w:t>Intra-articular injection</w:t>
            </w:r>
          </w:p>
          <w:p w14:paraId="6E299BDA" w14:textId="77777777" w:rsidR="00102460" w:rsidRDefault="00102460" w:rsidP="00102460">
            <w:r>
              <w:t>Sort tissue injection</w:t>
            </w:r>
          </w:p>
          <w:p w14:paraId="7C4D5AD8" w14:textId="1AA4456D" w:rsidR="009054B8" w:rsidRPr="00267C70" w:rsidRDefault="00102460" w:rsidP="007C1A9F">
            <w:r>
              <w:lastRenderedPageBreak/>
              <w:t>Image guided/ ultrasound guided/c</w:t>
            </w:r>
            <w:r w:rsidR="001C00FA">
              <w:t>linically guided</w:t>
            </w:r>
          </w:p>
        </w:tc>
      </w:tr>
      <w:tr w:rsidR="009054B8" w14:paraId="49DF4E57" w14:textId="77777777" w:rsidTr="009054B8">
        <w:tc>
          <w:tcPr>
            <w:tcW w:w="2410" w:type="dxa"/>
          </w:tcPr>
          <w:p w14:paraId="11EB7AFD" w14:textId="77777777" w:rsidR="009054B8" w:rsidRPr="00267C70" w:rsidRDefault="009054B8" w:rsidP="007C1A9F">
            <w:r w:rsidRPr="00267C70">
              <w:lastRenderedPageBreak/>
              <w:t>Comparison, if any</w:t>
            </w:r>
          </w:p>
          <w:p w14:paraId="11D9FA67" w14:textId="77777777" w:rsidR="009054B8" w:rsidRPr="00B12AE2" w:rsidRDefault="009054B8" w:rsidP="007C1A9F">
            <w:pPr>
              <w:rPr>
                <w:color w:val="BFBFBF"/>
              </w:rPr>
            </w:pPr>
            <w:r w:rsidRPr="00B12AE2">
              <w:t>e.g. usual care, leaflet</w:t>
            </w:r>
            <w:r w:rsidRPr="00B12AE2">
              <w:tab/>
            </w:r>
          </w:p>
        </w:tc>
        <w:tc>
          <w:tcPr>
            <w:tcW w:w="3402" w:type="dxa"/>
          </w:tcPr>
          <w:p w14:paraId="7268079F" w14:textId="64555835" w:rsidR="009054B8" w:rsidRPr="00267C70" w:rsidRDefault="00102460" w:rsidP="007C1A9F">
            <w:r>
              <w:t>Nil</w:t>
            </w:r>
          </w:p>
        </w:tc>
        <w:tc>
          <w:tcPr>
            <w:tcW w:w="2977" w:type="dxa"/>
          </w:tcPr>
          <w:p w14:paraId="1BF96689" w14:textId="77777777" w:rsidR="009054B8" w:rsidRPr="00267C70" w:rsidRDefault="009054B8" w:rsidP="007C1A9F"/>
        </w:tc>
      </w:tr>
      <w:tr w:rsidR="009054B8" w14:paraId="3DD8CE0B" w14:textId="77777777" w:rsidTr="009054B8">
        <w:tc>
          <w:tcPr>
            <w:tcW w:w="2410" w:type="dxa"/>
          </w:tcPr>
          <w:p w14:paraId="16CD3EC4" w14:textId="77777777" w:rsidR="009054B8" w:rsidRPr="00267C70" w:rsidRDefault="009054B8" w:rsidP="007C1A9F">
            <w:r w:rsidRPr="00267C70">
              <w:t>Outcomes of interest</w:t>
            </w:r>
          </w:p>
          <w:p w14:paraId="5AEDB2E7" w14:textId="05C09A23" w:rsidR="009054B8" w:rsidRPr="00267C70" w:rsidRDefault="009054B8" w:rsidP="007C1A9F">
            <w:pPr>
              <w:rPr>
                <w:color w:val="BFBFBF"/>
              </w:rPr>
            </w:pPr>
          </w:p>
        </w:tc>
        <w:tc>
          <w:tcPr>
            <w:tcW w:w="3402" w:type="dxa"/>
          </w:tcPr>
          <w:p w14:paraId="6BF52F9E" w14:textId="18985D29" w:rsidR="009054B8" w:rsidRPr="00267C70" w:rsidRDefault="00102460" w:rsidP="007C1A9F">
            <w:r>
              <w:t>Is it safe to drive</w:t>
            </w:r>
          </w:p>
        </w:tc>
        <w:tc>
          <w:tcPr>
            <w:tcW w:w="2977" w:type="dxa"/>
          </w:tcPr>
          <w:p w14:paraId="58785E8B" w14:textId="5C7975ED" w:rsidR="00102460" w:rsidRDefault="00102460" w:rsidP="00102460">
            <w:r>
              <w:t>Br</w:t>
            </w:r>
            <w:r w:rsidR="001970FE">
              <w:t>e</w:t>
            </w:r>
            <w:r>
              <w:t>aking distance</w:t>
            </w:r>
          </w:p>
          <w:p w14:paraId="1CCFE905" w14:textId="3643A764" w:rsidR="00102460" w:rsidRDefault="00102460" w:rsidP="00102460">
            <w:r>
              <w:t xml:space="preserve">Adverse systemic effects of steroid/ </w:t>
            </w:r>
            <w:r w:rsidR="001970FE">
              <w:t>corticosteroid</w:t>
            </w:r>
            <w:r>
              <w:t xml:space="preserve"> injections</w:t>
            </w:r>
          </w:p>
          <w:p w14:paraId="3830A939" w14:textId="6F2B1538" w:rsidR="009054B8" w:rsidRPr="00267C70" w:rsidRDefault="00102460" w:rsidP="00102460">
            <w:r>
              <w:t>Reaction times</w:t>
            </w:r>
          </w:p>
        </w:tc>
      </w:tr>
      <w:tr w:rsidR="009054B8" w14:paraId="54310A00" w14:textId="77777777" w:rsidTr="009054B8">
        <w:tc>
          <w:tcPr>
            <w:tcW w:w="2410" w:type="dxa"/>
          </w:tcPr>
          <w:p w14:paraId="65CBF93C" w14:textId="453A4287" w:rsidR="009054B8" w:rsidRPr="00267C70" w:rsidRDefault="001C00FA" w:rsidP="007C1A9F">
            <w:r>
              <w:t>Types of studies</w:t>
            </w:r>
          </w:p>
        </w:tc>
        <w:tc>
          <w:tcPr>
            <w:tcW w:w="3402" w:type="dxa"/>
          </w:tcPr>
          <w:p w14:paraId="5D255780" w14:textId="77777777" w:rsidR="009054B8" w:rsidRPr="00267C70" w:rsidRDefault="009054B8" w:rsidP="007C1A9F"/>
        </w:tc>
        <w:tc>
          <w:tcPr>
            <w:tcW w:w="2977" w:type="dxa"/>
          </w:tcPr>
          <w:p w14:paraId="7C9AA822" w14:textId="784CA9BC" w:rsidR="009054B8" w:rsidRPr="00267C70" w:rsidRDefault="00102460" w:rsidP="007C1A9F">
            <w:r>
              <w:t>RCTs/SR/case studies</w:t>
            </w:r>
          </w:p>
        </w:tc>
      </w:tr>
    </w:tbl>
    <w:p w14:paraId="78598055" w14:textId="77777777" w:rsidR="00B352F4" w:rsidRDefault="00B352F4" w:rsidP="009054B8">
      <w:pPr>
        <w:pStyle w:val="Heading2"/>
        <w:rPr>
          <w:rFonts w:eastAsia="Arial"/>
        </w:rPr>
      </w:pPr>
    </w:p>
    <w:p w14:paraId="1C9D3105" w14:textId="77777777" w:rsidR="009054B8" w:rsidRDefault="009054B8" w:rsidP="009054B8">
      <w:pPr>
        <w:pStyle w:val="Heading2"/>
        <w:rPr>
          <w:rFonts w:eastAsia="Arial"/>
        </w:rPr>
      </w:pPr>
      <w:r w:rsidRPr="00B12AE2">
        <w:rPr>
          <w:rFonts w:eastAsia="Arial"/>
        </w:rPr>
        <w:t>Databases searched</w:t>
      </w:r>
      <w:r>
        <w:rPr>
          <w:rFonts w:eastAsia="Arial"/>
        </w:rPr>
        <w:t xml:space="preserve"> </w:t>
      </w:r>
    </w:p>
    <w:p w14:paraId="04CA2AB6" w14:textId="178A468C" w:rsidR="009054B8" w:rsidRDefault="009054B8" w:rsidP="009054B8">
      <w:r w:rsidRPr="00267C70">
        <w:t>Clinical Knowledge Summaries</w:t>
      </w:r>
      <w:r w:rsidR="00EF7641">
        <w:t xml:space="preserve"> (CKS)</w:t>
      </w:r>
      <w:r w:rsidRPr="00267C70">
        <w:t xml:space="preserve">, </w:t>
      </w:r>
      <w:r w:rsidR="00EF7641">
        <w:t>British Medical Journal (</w:t>
      </w:r>
      <w:r w:rsidRPr="00267C70">
        <w:t>BMJ</w:t>
      </w:r>
      <w:r w:rsidR="00EF7641">
        <w:t>)</w:t>
      </w:r>
      <w:r w:rsidR="00DF2A98">
        <w:t xml:space="preserve"> Updates,</w:t>
      </w:r>
      <w:r w:rsidRPr="00267C70">
        <w:t xml:space="preserve"> </w:t>
      </w:r>
      <w:r w:rsidR="00EF7641">
        <w:t>Translation of Research into Practice (</w:t>
      </w:r>
      <w:r w:rsidRPr="00267C70">
        <w:t>TRIP</w:t>
      </w:r>
      <w:r w:rsidR="00EF7641">
        <w:t>)</w:t>
      </w:r>
      <w:r w:rsidRPr="00267C70">
        <w:t xml:space="preserve"> Database, The Cochrane Library,</w:t>
      </w:r>
      <w:r w:rsidR="00DF2A98">
        <w:t xml:space="preserve"> Cinahl, Embase, </w:t>
      </w:r>
      <w:r w:rsidRPr="00267C70">
        <w:t xml:space="preserve"> Joanna Briggs Institute, We</w:t>
      </w:r>
      <w:r w:rsidR="00DF2A98">
        <w:t xml:space="preserve">b of Science, </w:t>
      </w:r>
      <w:r w:rsidRPr="00267C70">
        <w:t>Pub Med</w:t>
      </w:r>
      <w:r w:rsidR="00DF2A98">
        <w:t>,Emcare, Google Scholar, Orthoevidence.</w:t>
      </w:r>
    </w:p>
    <w:p w14:paraId="5AD53825" w14:textId="77777777" w:rsidR="009054B8" w:rsidRDefault="009054B8" w:rsidP="009054B8">
      <w:pPr>
        <w:pStyle w:val="Heading2"/>
        <w:rPr>
          <w:rFonts w:ascii="Arial" w:eastAsia="Arial" w:hAnsi="Arial" w:cs="Arial"/>
          <w:i/>
          <w:color w:val="BFBFBF"/>
          <w:sz w:val="22"/>
          <w:szCs w:val="22"/>
        </w:rPr>
      </w:pPr>
      <w:r w:rsidRPr="00B12AE2">
        <w:t>Date of search</w:t>
      </w:r>
    </w:p>
    <w:p w14:paraId="40D7CDD7" w14:textId="49B7BF4C" w:rsidR="009054B8" w:rsidRDefault="00DF2A98" w:rsidP="009054B8">
      <w:bookmarkStart w:id="0" w:name="_heading=h.3dy6vkm" w:colFirst="0" w:colLast="0"/>
      <w:bookmarkEnd w:id="0"/>
      <w:r>
        <w:t>05/09/24</w:t>
      </w:r>
    </w:p>
    <w:p w14:paraId="32008840" w14:textId="0E24BEC9" w:rsidR="009054B8" w:rsidRDefault="009054B8" w:rsidP="00EF7641">
      <w:pPr>
        <w:pStyle w:val="Heading2"/>
      </w:pPr>
      <w:r w:rsidRPr="00B12AE2">
        <w:t>Results of the search</w:t>
      </w:r>
      <w:r w:rsidR="001C00FA">
        <w:t xml:space="preserve">: </w:t>
      </w:r>
    </w:p>
    <w:p w14:paraId="5977BC3E" w14:textId="77777777" w:rsidR="00015B8B" w:rsidRDefault="00015B8B" w:rsidP="00015B8B">
      <w:r>
        <w:rPr>
          <w:noProof/>
          <w:lang w:eastAsia="en-GB"/>
        </w:rPr>
        <w:drawing>
          <wp:inline distT="0" distB="0" distL="0" distR="0" wp14:anchorId="10B62392" wp14:editId="13FF8F02">
            <wp:extent cx="5127955" cy="3906317"/>
            <wp:effectExtent l="19050" t="0" r="0" b="0"/>
            <wp:docPr id="2" name="Diagram 2" descr="This is a flow chart which shows a template for the search results and include the unique downloaded studies potentially relevant studies, included studies and excluded studies&#10;" title="CAT diagram"/>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617D6AD1" w14:textId="4512C741" w:rsidR="00B352F4" w:rsidRDefault="00DF2A98" w:rsidP="00015B8B">
      <w:r>
        <w:lastRenderedPageBreak/>
        <w:t>There were 12</w:t>
      </w:r>
      <w:r w:rsidR="00B352F4">
        <w:t xml:space="preserve"> unique d</w:t>
      </w:r>
      <w:r w:rsidR="001C00FA">
        <w:t xml:space="preserve">ownloaded studies. Three were felt to be relevant studies. One is included critical appraised in Table 1 below.  Two were excluded, one as a review of practice and the other was a smaller </w:t>
      </w:r>
      <w:r w:rsidR="00E12DF2" w:rsidRPr="0081693A">
        <w:t>cohort</w:t>
      </w:r>
      <w:r w:rsidR="0081693A" w:rsidRPr="0081693A">
        <w:t xml:space="preserve"> study</w:t>
      </w:r>
      <w:r w:rsidR="00B352F4" w:rsidRPr="0081693A">
        <w:t>.</w:t>
      </w:r>
    </w:p>
    <w:p w14:paraId="2377BB07" w14:textId="77777777" w:rsidR="00015B8B" w:rsidRDefault="00015B8B" w:rsidP="00015B8B">
      <w:pPr>
        <w:pStyle w:val="Heading2"/>
        <w:rPr>
          <w:rFonts w:eastAsia="Arial"/>
        </w:rPr>
      </w:pPr>
      <w:r>
        <w:rPr>
          <w:rFonts w:eastAsia="Arial"/>
        </w:rPr>
        <w:t>Table 1- Detail of included studies</w:t>
      </w:r>
    </w:p>
    <w:p w14:paraId="434ED2FC" w14:textId="77777777" w:rsidR="00015B8B" w:rsidRPr="00015B8B" w:rsidRDefault="00015B8B" w:rsidP="00015B8B"/>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1701"/>
        <w:gridCol w:w="1984"/>
        <w:gridCol w:w="1985"/>
        <w:gridCol w:w="1843"/>
      </w:tblGrid>
      <w:tr w:rsidR="00015B8B" w14:paraId="5D3779DF" w14:textId="77777777" w:rsidTr="00EF7641">
        <w:tc>
          <w:tcPr>
            <w:tcW w:w="1418" w:type="dxa"/>
            <w:vAlign w:val="center"/>
          </w:tcPr>
          <w:p w14:paraId="4200E669" w14:textId="77777777" w:rsidR="00015B8B" w:rsidRPr="00015B8B" w:rsidRDefault="00015B8B" w:rsidP="007C1A9F">
            <w:pPr>
              <w:rPr>
                <w:b/>
                <w:color w:val="000000" w:themeColor="text1"/>
              </w:rPr>
            </w:pPr>
            <w:r w:rsidRPr="00015B8B">
              <w:rPr>
                <w:b/>
                <w:color w:val="000000" w:themeColor="text1"/>
              </w:rPr>
              <w:t>First author,  year and type of study</w:t>
            </w:r>
          </w:p>
        </w:tc>
        <w:tc>
          <w:tcPr>
            <w:tcW w:w="1701" w:type="dxa"/>
            <w:vAlign w:val="center"/>
          </w:tcPr>
          <w:p w14:paraId="37943452" w14:textId="77777777" w:rsidR="00015B8B" w:rsidRPr="00015B8B" w:rsidRDefault="00015B8B" w:rsidP="007C1A9F">
            <w:pPr>
              <w:rPr>
                <w:b/>
                <w:color w:val="000000" w:themeColor="text1"/>
              </w:rPr>
            </w:pPr>
            <w:r w:rsidRPr="00015B8B">
              <w:rPr>
                <w:b/>
                <w:color w:val="000000" w:themeColor="text1"/>
              </w:rPr>
              <w:t>Population and setting</w:t>
            </w:r>
          </w:p>
        </w:tc>
        <w:tc>
          <w:tcPr>
            <w:tcW w:w="1984" w:type="dxa"/>
            <w:vAlign w:val="center"/>
          </w:tcPr>
          <w:p w14:paraId="4BA7F006" w14:textId="77777777" w:rsidR="00015B8B" w:rsidRPr="00015B8B" w:rsidRDefault="00015B8B" w:rsidP="007C1A9F">
            <w:pPr>
              <w:rPr>
                <w:b/>
                <w:color w:val="000000" w:themeColor="text1"/>
              </w:rPr>
            </w:pPr>
            <w:r w:rsidRPr="00015B8B">
              <w:rPr>
                <w:b/>
                <w:color w:val="000000" w:themeColor="text1"/>
              </w:rPr>
              <w:t>Intervention or exposure tested</w:t>
            </w:r>
          </w:p>
        </w:tc>
        <w:tc>
          <w:tcPr>
            <w:tcW w:w="1985" w:type="dxa"/>
            <w:vAlign w:val="center"/>
          </w:tcPr>
          <w:p w14:paraId="04B005E7" w14:textId="77777777" w:rsidR="00015B8B" w:rsidRPr="00015B8B" w:rsidRDefault="00015B8B" w:rsidP="007C1A9F">
            <w:pPr>
              <w:rPr>
                <w:b/>
                <w:color w:val="000000" w:themeColor="text1"/>
              </w:rPr>
            </w:pPr>
            <w:r w:rsidRPr="00015B8B">
              <w:rPr>
                <w:b/>
                <w:color w:val="000000" w:themeColor="text1"/>
              </w:rPr>
              <w:t>Study results</w:t>
            </w:r>
          </w:p>
        </w:tc>
        <w:tc>
          <w:tcPr>
            <w:tcW w:w="1843" w:type="dxa"/>
            <w:vAlign w:val="center"/>
          </w:tcPr>
          <w:p w14:paraId="6FDF1BB9" w14:textId="77777777" w:rsidR="00015B8B" w:rsidRPr="00015B8B" w:rsidRDefault="00015B8B" w:rsidP="007C1A9F">
            <w:pPr>
              <w:rPr>
                <w:b/>
                <w:color w:val="000000" w:themeColor="text1"/>
              </w:rPr>
            </w:pPr>
            <w:r w:rsidRPr="00015B8B">
              <w:rPr>
                <w:b/>
                <w:color w:val="000000" w:themeColor="text1"/>
              </w:rPr>
              <w:t>Assessment of quality and comments</w:t>
            </w:r>
          </w:p>
        </w:tc>
      </w:tr>
      <w:tr w:rsidR="00015B8B" w14:paraId="195215F2" w14:textId="77777777" w:rsidTr="00EF7641">
        <w:tc>
          <w:tcPr>
            <w:tcW w:w="1418" w:type="dxa"/>
          </w:tcPr>
          <w:p w14:paraId="344B4EFB" w14:textId="77777777" w:rsidR="00015B8B" w:rsidRPr="00B12AE2" w:rsidRDefault="00015B8B" w:rsidP="007C1A9F"/>
          <w:p w14:paraId="4483AD97" w14:textId="77777777" w:rsidR="001C00FA" w:rsidRDefault="001C00FA" w:rsidP="007C1A9F">
            <w:r>
              <w:t>Cassidy J et al (2020)</w:t>
            </w:r>
          </w:p>
          <w:p w14:paraId="4821CD66" w14:textId="40E5A1F9" w:rsidR="00015B8B" w:rsidRPr="00B12AE2" w:rsidRDefault="00DF2A98" w:rsidP="007C1A9F">
            <w:r>
              <w:t>Prosepect</w:t>
            </w:r>
            <w:r w:rsidR="00670493">
              <w:t>-</w:t>
            </w:r>
            <w:r>
              <w:t>ive observation</w:t>
            </w:r>
            <w:r w:rsidR="00670493">
              <w:t>-</w:t>
            </w:r>
            <w:r>
              <w:t>al study</w:t>
            </w:r>
          </w:p>
          <w:p w14:paraId="53D19034" w14:textId="77777777" w:rsidR="00015B8B" w:rsidRPr="00B12AE2" w:rsidRDefault="00015B8B" w:rsidP="007C1A9F"/>
          <w:p w14:paraId="2996060A" w14:textId="77777777" w:rsidR="00015B8B" w:rsidRPr="00B12AE2" w:rsidRDefault="00015B8B" w:rsidP="007C1A9F"/>
        </w:tc>
        <w:tc>
          <w:tcPr>
            <w:tcW w:w="1701" w:type="dxa"/>
          </w:tcPr>
          <w:p w14:paraId="7B727DBA" w14:textId="77777777" w:rsidR="00015B8B" w:rsidRPr="00B12AE2" w:rsidRDefault="00015B8B" w:rsidP="007C1A9F"/>
          <w:p w14:paraId="4B453FA2" w14:textId="77777777" w:rsidR="00670493" w:rsidRDefault="00670493" w:rsidP="00670493">
            <w:r>
              <w:t>45 patients with right knee osteoarthritis (OA) in secondary care received a clinically guided injections of 1ml steroid  and 9ml .5% bupivacaine by either a physiotherapists or medic</w:t>
            </w:r>
          </w:p>
          <w:p w14:paraId="584EA8B2" w14:textId="1FDEB63B" w:rsidR="00015B8B" w:rsidRPr="00B12AE2" w:rsidRDefault="00670493" w:rsidP="00670493">
            <w:r>
              <w:t xml:space="preserve"> </w:t>
            </w:r>
          </w:p>
        </w:tc>
        <w:tc>
          <w:tcPr>
            <w:tcW w:w="1984" w:type="dxa"/>
          </w:tcPr>
          <w:p w14:paraId="5CAAA0B6" w14:textId="77777777" w:rsidR="00015B8B" w:rsidRPr="00B12AE2" w:rsidRDefault="00015B8B" w:rsidP="007C1A9F"/>
          <w:p w14:paraId="18E43D1D" w14:textId="50CD71AC" w:rsidR="00670493" w:rsidRPr="00B12AE2" w:rsidRDefault="00670493" w:rsidP="001C00FA">
            <w:pPr>
              <w:autoSpaceDE w:val="0"/>
              <w:autoSpaceDN w:val="0"/>
              <w:adjustRightInd w:val="0"/>
              <w:spacing w:after="0" w:line="240" w:lineRule="auto"/>
            </w:pPr>
            <w:r>
              <w:t xml:space="preserve">Prior to injection each </w:t>
            </w:r>
            <w:r w:rsidR="001C00FA">
              <w:t xml:space="preserve">patients break reaction times (BRT) were </w:t>
            </w:r>
            <w:r w:rsidR="00D3668F">
              <w:t xml:space="preserve">recorded </w:t>
            </w:r>
            <w:r w:rsidR="001C00FA">
              <w:t>using the</w:t>
            </w:r>
            <w:r w:rsidR="00D3668F">
              <w:t xml:space="preserve"> response time monitor – this method has been described and validated in previous studies. Each subject had a practice go and then 3 subsequent goes which were recorded and used. All patients had repeat test within 1 hour of their injection (range 15-50mins, mean 29 +/- 9 mins)</w:t>
            </w:r>
            <w:r w:rsidR="00D3668F">
              <w:rPr>
                <w:rFonts w:ascii="AdvTT5235d5a9" w:hAnsi="AdvTT5235d5a9" w:cs="AdvTT5235d5a9"/>
                <w:sz w:val="16"/>
                <w:szCs w:val="16"/>
              </w:rPr>
              <w:t>.</w:t>
            </w:r>
          </w:p>
        </w:tc>
        <w:tc>
          <w:tcPr>
            <w:tcW w:w="1985" w:type="dxa"/>
          </w:tcPr>
          <w:p w14:paraId="07093098" w14:textId="77777777" w:rsidR="00015B8B" w:rsidRPr="00B12AE2" w:rsidRDefault="00015B8B" w:rsidP="007C1A9F"/>
          <w:p w14:paraId="690021A2" w14:textId="76B1686D" w:rsidR="00015B8B" w:rsidRDefault="001C00FA" w:rsidP="007C1A9F">
            <w:r>
              <w:t>No significant difference in mean break time response pre and post injection.</w:t>
            </w:r>
          </w:p>
          <w:p w14:paraId="0F0023B9" w14:textId="39282F4D" w:rsidR="001C00FA" w:rsidRDefault="001C00FA" w:rsidP="007C1A9F">
            <w:r>
              <w:t>Of the 45 pts, 9 did not feel safe to drive afterwards – no explanation</w:t>
            </w:r>
          </w:p>
          <w:p w14:paraId="0699ED65" w14:textId="6B4C4BAD" w:rsidR="001C00FA" w:rsidRPr="00B12AE2" w:rsidRDefault="001C00FA" w:rsidP="007C1A9F"/>
        </w:tc>
        <w:tc>
          <w:tcPr>
            <w:tcW w:w="1843" w:type="dxa"/>
          </w:tcPr>
          <w:p w14:paraId="5A34FBAE" w14:textId="77777777" w:rsidR="00015B8B" w:rsidRPr="00B12AE2" w:rsidRDefault="00015B8B" w:rsidP="007C1A9F"/>
          <w:p w14:paraId="67925C80" w14:textId="1AB69458" w:rsidR="00015B8B" w:rsidRDefault="001C00FA" w:rsidP="007C1A9F">
            <w:r>
              <w:t xml:space="preserve">Small observational study with risks of bias: Same assessors, no blinding and pts had completed the BRT 7 times by the end of the testing, suggesting there could be some learning occurring of a new skill. </w:t>
            </w:r>
          </w:p>
          <w:p w14:paraId="6965AE56" w14:textId="044486BF" w:rsidR="001C00FA" w:rsidRDefault="001C00FA" w:rsidP="007C1A9F">
            <w:r>
              <w:t xml:space="preserve">Power calculation used, however, not sure how they came up with a 20% increase in break time allowed (0.25s) with a SD 0.25sec – This would equate to 0.5 secs (which is half the </w:t>
            </w:r>
            <w:r>
              <w:lastRenderedPageBreak/>
              <w:t>‘normal break time response’</w:t>
            </w:r>
            <w:r w:rsidR="00AA5619">
              <w:t>)</w:t>
            </w:r>
          </w:p>
          <w:p w14:paraId="0B6DD5E5" w14:textId="287BC15F" w:rsidR="001C00FA" w:rsidRDefault="001C00FA" w:rsidP="007C1A9F">
            <w:r>
              <w:t xml:space="preserve">Small amount of data displayed in the results section. </w:t>
            </w:r>
          </w:p>
          <w:p w14:paraId="091C2F5F" w14:textId="6B7EE60C" w:rsidR="00015B8B" w:rsidRPr="00B12AE2" w:rsidRDefault="001C00FA" w:rsidP="001C00FA">
            <w:r>
              <w:t>9 patients did not feel safe to drive afterwards, would have been nice to explore why this was.</w:t>
            </w:r>
          </w:p>
        </w:tc>
      </w:tr>
    </w:tbl>
    <w:p w14:paraId="7D20B4DC" w14:textId="77777777" w:rsidR="00015B8B" w:rsidRPr="00EF7641" w:rsidRDefault="00015B8B" w:rsidP="00EF7641">
      <w:pPr>
        <w:pStyle w:val="Heading1"/>
        <w:rPr>
          <w:rFonts w:eastAsia="Arial"/>
        </w:rPr>
      </w:pPr>
      <w:r w:rsidRPr="00B12AE2">
        <w:rPr>
          <w:rFonts w:eastAsia="Arial"/>
        </w:rPr>
        <w:lastRenderedPageBreak/>
        <w:t>Summary</w:t>
      </w:r>
    </w:p>
    <w:p w14:paraId="6AC754DB" w14:textId="391A02A2" w:rsidR="00015B8B" w:rsidRDefault="001C00FA" w:rsidP="00015B8B">
      <w:pPr>
        <w:rPr>
          <w:sz w:val="22"/>
        </w:rPr>
      </w:pPr>
      <w:r>
        <w:t>Caution is advised when interpreting this cohort study due to its small sample size, lack of blinding and potential risks of bias. The study focused on one aspect of driving safety</w:t>
      </w:r>
      <w:r w:rsidR="00C358DE">
        <w:t xml:space="preserve">, break reaction times, </w:t>
      </w:r>
      <w:r>
        <w:t xml:space="preserve">and did not explain why 9 out of 45 (20%) did not feel safe to drive after the procedure. </w:t>
      </w:r>
    </w:p>
    <w:p w14:paraId="7C0F35FD" w14:textId="0F5AEDD6" w:rsidR="00015B8B" w:rsidRDefault="00015B8B" w:rsidP="00EF7641">
      <w:pPr>
        <w:pStyle w:val="Heading1"/>
        <w:rPr>
          <w:rFonts w:eastAsia="Arial"/>
        </w:rPr>
      </w:pPr>
      <w:r w:rsidRPr="00B12AE2">
        <w:rPr>
          <w:rFonts w:eastAsia="Arial"/>
        </w:rPr>
        <w:t>I</w:t>
      </w:r>
      <w:r>
        <w:rPr>
          <w:rFonts w:eastAsia="Arial"/>
        </w:rPr>
        <w:t>m</w:t>
      </w:r>
      <w:r w:rsidRPr="00B12AE2">
        <w:rPr>
          <w:rFonts w:eastAsia="Arial"/>
        </w:rPr>
        <w:t xml:space="preserve">plications for </w:t>
      </w:r>
      <w:r>
        <w:rPr>
          <w:rFonts w:eastAsia="Arial"/>
        </w:rPr>
        <w:t>p</w:t>
      </w:r>
      <w:r w:rsidRPr="00B12AE2">
        <w:rPr>
          <w:rFonts w:eastAsia="Arial"/>
        </w:rPr>
        <w:t>ractice</w:t>
      </w:r>
    </w:p>
    <w:p w14:paraId="2E62D8D3" w14:textId="3169071B" w:rsidR="001C00FA" w:rsidRDefault="001C00FA" w:rsidP="001C00FA">
      <w:r>
        <w:t>Given the current leve</w:t>
      </w:r>
      <w:r w:rsidR="0081693A">
        <w:t>l of evidence, we cannot definitiv</w:t>
      </w:r>
      <w:r>
        <w:t xml:space="preserve">ely answer this Critically Appraised Topic (CAT). Clinicians must use shared decision-making when advising patients about the safety of driving after a CSI. This discussion should be documented in the </w:t>
      </w:r>
      <w:r w:rsidR="00387A60">
        <w:t>patients</w:t>
      </w:r>
      <w:r>
        <w:t xml:space="preserve"> notes to protect both the patient and the clinician.</w:t>
      </w:r>
    </w:p>
    <w:p w14:paraId="30C821E1" w14:textId="25BE1317" w:rsidR="00BB32E8" w:rsidRDefault="00BB32E8" w:rsidP="001C00FA">
      <w:r>
        <w:t>As a result of this CAT, we have shared the findings at our annual injection competency training meeting and suggested it is added to the injection checklist.</w:t>
      </w:r>
    </w:p>
    <w:p w14:paraId="4F85A03C" w14:textId="00959940" w:rsidR="001C00FA" w:rsidRDefault="001C00FA" w:rsidP="001C00FA">
      <w:r>
        <w:t>A high</w:t>
      </w:r>
      <w:r w:rsidR="00DF1875">
        <w:t>-</w:t>
      </w:r>
      <w:r>
        <w:t>quality randomised control trial is needed to address this question comprehensively. Such a study should examine multiple facets of driving safety and include all joints and soft tissues commonly injected in a musculoskeletal setting to ensure a large and representative sample.</w:t>
      </w:r>
    </w:p>
    <w:p w14:paraId="37105849" w14:textId="54876692" w:rsidR="00015B8B" w:rsidRDefault="00015B8B" w:rsidP="00015B8B">
      <w:pPr>
        <w:pStyle w:val="Heading1"/>
      </w:pPr>
      <w:r w:rsidRPr="00B12AE2">
        <w:t xml:space="preserve">What would you </w:t>
      </w:r>
      <w:r w:rsidR="00EF7641">
        <w:t>post on X (previously Twitter)</w:t>
      </w:r>
      <w:r w:rsidRPr="00B12AE2">
        <w:t>?</w:t>
      </w:r>
    </w:p>
    <w:p w14:paraId="0917180A" w14:textId="77777777" w:rsidR="00FD7DFF" w:rsidRDefault="00FD7DFF" w:rsidP="00FD7DFF">
      <w:r>
        <w:t>Currently there is no high-quality evidence to determine whether it is safe for patients to drive after a CSI. Clinicians should share this information with their patients as part of shared decision-making, enabling them to make informed decisions.</w:t>
      </w:r>
    </w:p>
    <w:p w14:paraId="270EC77C" w14:textId="77777777" w:rsidR="001C00FA" w:rsidRDefault="001C00FA" w:rsidP="001C00FA">
      <w:pPr>
        <w:pStyle w:val="Heading1"/>
        <w:rPr>
          <w:rFonts w:eastAsia="Arial"/>
        </w:rPr>
      </w:pPr>
    </w:p>
    <w:p w14:paraId="2E0774CF" w14:textId="4B58C1C7" w:rsidR="001C00FA" w:rsidRPr="001C00FA" w:rsidRDefault="00015B8B" w:rsidP="001C00FA">
      <w:pPr>
        <w:pStyle w:val="Heading1"/>
        <w:rPr>
          <w:rFonts w:eastAsia="Arial"/>
        </w:rPr>
      </w:pPr>
      <w:r w:rsidRPr="00B12AE2">
        <w:rPr>
          <w:rFonts w:eastAsia="Arial"/>
        </w:rPr>
        <w:t>References</w:t>
      </w:r>
    </w:p>
    <w:p w14:paraId="5751B64E" w14:textId="5394513A" w:rsidR="00EF7641" w:rsidRPr="00387A60" w:rsidRDefault="001C00FA" w:rsidP="00015B8B">
      <w:pPr>
        <w:rPr>
          <w:rFonts w:cstheme="minorHAnsi"/>
          <w:color w:val="000000"/>
          <w:szCs w:val="24"/>
        </w:rPr>
      </w:pPr>
      <w:r w:rsidRPr="00387A60">
        <w:rPr>
          <w:rFonts w:cstheme="minorHAnsi"/>
          <w:color w:val="000000"/>
          <w:szCs w:val="24"/>
        </w:rPr>
        <w:t>Cassidy JT, McClean A, Hurley ET and Cashman JP (2020). Is it safe for patients to drive after intra-articular knee injections? The Knee. 27. 690-694</w:t>
      </w:r>
    </w:p>
    <w:p w14:paraId="41405496" w14:textId="6AFB7069" w:rsidR="001C00FA" w:rsidRPr="00387A60" w:rsidRDefault="001C00FA" w:rsidP="00015B8B">
      <w:pPr>
        <w:rPr>
          <w:rFonts w:cstheme="minorHAnsi"/>
          <w:szCs w:val="24"/>
        </w:rPr>
      </w:pPr>
      <w:hyperlink r:id="rId17" w:history="1">
        <w:r w:rsidRPr="00387A60">
          <w:rPr>
            <w:rStyle w:val="Hyperlink"/>
            <w:rFonts w:cstheme="minorHAnsi"/>
            <w:szCs w:val="24"/>
          </w:rPr>
          <w:t>Assessing fitness to drive – a guide for medical professionals (publishing.service.gov.uk)</w:t>
        </w:r>
      </w:hyperlink>
      <w:r w:rsidRPr="00387A60">
        <w:rPr>
          <w:rFonts w:cstheme="minorHAnsi"/>
          <w:szCs w:val="24"/>
        </w:rPr>
        <w:t xml:space="preserve"> 30.9.24</w:t>
      </w:r>
    </w:p>
    <w:p w14:paraId="46EAF665" w14:textId="77777777" w:rsidR="00015B8B" w:rsidRDefault="00015B8B" w:rsidP="00015B8B"/>
    <w:tbl>
      <w:tblPr>
        <w:tblStyle w:val="TableGrid"/>
        <w:tblW w:w="8046" w:type="dxa"/>
        <w:tblLook w:val="04A0" w:firstRow="1" w:lastRow="0" w:firstColumn="1" w:lastColumn="0" w:noHBand="0" w:noVBand="1"/>
        <w:tblCaption w:val="Evidence table"/>
        <w:tblDescription w:val="This table presents the author with the opportunity to pick whether there is good quality evidence, insufficient or poor quality evidence, or no good quality evidence to reflect the clinical bottom line"/>
      </w:tblPr>
      <w:tblGrid>
        <w:gridCol w:w="1413"/>
        <w:gridCol w:w="5456"/>
        <w:gridCol w:w="1177"/>
      </w:tblGrid>
      <w:tr w:rsidR="00015B8B" w14:paraId="5610DB89" w14:textId="77777777" w:rsidTr="002740DF">
        <w:trPr>
          <w:tblHeader/>
        </w:trPr>
        <w:tc>
          <w:tcPr>
            <w:tcW w:w="1413" w:type="dxa"/>
          </w:tcPr>
          <w:p w14:paraId="3EFB5CEE" w14:textId="77777777" w:rsidR="00015B8B" w:rsidRPr="00015B8B" w:rsidRDefault="00015B8B" w:rsidP="007C1A9F">
            <w:pPr>
              <w:rPr>
                <w:b/>
              </w:rPr>
            </w:pPr>
            <w:r w:rsidRPr="00015B8B">
              <w:rPr>
                <w:b/>
              </w:rPr>
              <w:t>CAT image</w:t>
            </w:r>
          </w:p>
        </w:tc>
        <w:tc>
          <w:tcPr>
            <w:tcW w:w="5456" w:type="dxa"/>
          </w:tcPr>
          <w:p w14:paraId="4C28E0F0" w14:textId="77777777" w:rsidR="00015B8B" w:rsidRPr="00015B8B" w:rsidRDefault="00015B8B" w:rsidP="007C1A9F">
            <w:pPr>
              <w:rPr>
                <w:b/>
              </w:rPr>
            </w:pPr>
            <w:r w:rsidRPr="00015B8B">
              <w:rPr>
                <w:b/>
              </w:rPr>
              <w:t>Evidence quality</w:t>
            </w:r>
          </w:p>
        </w:tc>
        <w:tc>
          <w:tcPr>
            <w:tcW w:w="1177" w:type="dxa"/>
          </w:tcPr>
          <w:p w14:paraId="574A4628" w14:textId="77777777" w:rsidR="00015B8B" w:rsidRPr="00015B8B" w:rsidRDefault="00015B8B" w:rsidP="007C1A9F">
            <w:pPr>
              <w:rPr>
                <w:b/>
              </w:rPr>
            </w:pPr>
            <w:r w:rsidRPr="00015B8B">
              <w:rPr>
                <w:b/>
              </w:rPr>
              <w:t>Checkbox</w:t>
            </w:r>
          </w:p>
          <w:p w14:paraId="577246BE" w14:textId="77777777" w:rsidR="00015B8B" w:rsidRPr="00015B8B" w:rsidRDefault="00015B8B" w:rsidP="007C1A9F">
            <w:pPr>
              <w:rPr>
                <w:b/>
              </w:rPr>
            </w:pPr>
          </w:p>
        </w:tc>
      </w:tr>
      <w:tr w:rsidR="00015B8B" w14:paraId="39EBD84C" w14:textId="77777777" w:rsidTr="002740DF">
        <w:trPr>
          <w:cantSplit/>
        </w:trPr>
        <w:tc>
          <w:tcPr>
            <w:tcW w:w="1413" w:type="dxa"/>
          </w:tcPr>
          <w:p w14:paraId="5FC301EA" w14:textId="77777777" w:rsidR="00015B8B" w:rsidRDefault="00015B8B" w:rsidP="007C1A9F">
            <w:r w:rsidRPr="00DB3B62">
              <w:rPr>
                <w:noProof/>
                <w:lang w:eastAsia="en-GB"/>
              </w:rPr>
              <w:drawing>
                <wp:inline distT="0" distB="0" distL="0" distR="0" wp14:anchorId="4AC06CCD" wp14:editId="29D4207E">
                  <wp:extent cx="704850" cy="522111"/>
                  <wp:effectExtent l="0" t="0" r="0" b="0"/>
                  <wp:docPr id="3" name="Picture 3" descr="This is a green cat with a happy face" title="Green c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47840" cy="553956"/>
                          </a:xfrm>
                          <a:prstGeom prst="rect">
                            <a:avLst/>
                          </a:prstGeom>
                          <a:noFill/>
                          <a:ln>
                            <a:noFill/>
                          </a:ln>
                        </pic:spPr>
                      </pic:pic>
                    </a:graphicData>
                  </a:graphic>
                </wp:inline>
              </w:drawing>
            </w:r>
          </w:p>
        </w:tc>
        <w:tc>
          <w:tcPr>
            <w:tcW w:w="5456" w:type="dxa"/>
          </w:tcPr>
          <w:p w14:paraId="572D6478" w14:textId="77777777" w:rsidR="00015B8B" w:rsidRPr="00F93FCE" w:rsidRDefault="00015B8B" w:rsidP="007C1A9F">
            <w:r w:rsidRPr="00F93FCE">
              <w:t>Good quality evidence to support use….</w:t>
            </w:r>
          </w:p>
        </w:tc>
        <w:tc>
          <w:tcPr>
            <w:tcW w:w="1177" w:type="dxa"/>
          </w:tcPr>
          <w:sdt>
            <w:sdtPr>
              <w:id w:val="1592577992"/>
              <w14:checkbox>
                <w14:checked w14:val="0"/>
                <w14:checkedState w14:val="00FE" w14:font="Wingdings"/>
                <w14:uncheckedState w14:val="2610" w14:font="MS Gothic"/>
              </w14:checkbox>
            </w:sdtPr>
            <w:sdtContent>
              <w:p w14:paraId="0374301B" w14:textId="77777777" w:rsidR="00015B8B" w:rsidRPr="00DC795D" w:rsidRDefault="00015B8B" w:rsidP="007C1A9F">
                <w:r>
                  <w:rPr>
                    <w:rFonts w:ascii="MS Gothic" w:eastAsia="MS Gothic" w:hAnsi="MS Gothic" w:hint="eastAsia"/>
                  </w:rPr>
                  <w:t>☐</w:t>
                </w:r>
              </w:p>
            </w:sdtContent>
          </w:sdt>
          <w:p w14:paraId="1B662D7D" w14:textId="77777777" w:rsidR="00015B8B" w:rsidRDefault="00015B8B" w:rsidP="007C1A9F"/>
        </w:tc>
      </w:tr>
      <w:tr w:rsidR="00015B8B" w14:paraId="1233F2AC" w14:textId="77777777" w:rsidTr="002740DF">
        <w:tc>
          <w:tcPr>
            <w:tcW w:w="1413" w:type="dxa"/>
          </w:tcPr>
          <w:p w14:paraId="27D5A4D1" w14:textId="77777777" w:rsidR="00015B8B" w:rsidRDefault="00015B8B" w:rsidP="007C1A9F">
            <w:r w:rsidRPr="00DB3B62">
              <w:rPr>
                <w:noProof/>
                <w:lang w:eastAsia="en-GB"/>
              </w:rPr>
              <w:drawing>
                <wp:inline distT="0" distB="0" distL="0" distR="0" wp14:anchorId="44F3F58C" wp14:editId="0287ABBD">
                  <wp:extent cx="694374" cy="514350"/>
                  <wp:effectExtent l="0" t="0" r="0" b="0"/>
                  <wp:docPr id="4" name="Picture 4" descr="This is an orange cat with an indifferent face" title="Orange c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5200" cy="537184"/>
                          </a:xfrm>
                          <a:prstGeom prst="rect">
                            <a:avLst/>
                          </a:prstGeom>
                          <a:noFill/>
                          <a:ln>
                            <a:noFill/>
                          </a:ln>
                        </pic:spPr>
                      </pic:pic>
                    </a:graphicData>
                  </a:graphic>
                </wp:inline>
              </w:drawing>
            </w:r>
          </w:p>
        </w:tc>
        <w:tc>
          <w:tcPr>
            <w:tcW w:w="5456" w:type="dxa"/>
          </w:tcPr>
          <w:p w14:paraId="4A20AB29" w14:textId="77777777" w:rsidR="00015B8B" w:rsidRPr="00F93FCE" w:rsidRDefault="00015B8B" w:rsidP="007C1A9F">
            <w:r w:rsidRPr="00F93FCE">
              <w:t>Insufficient or poor quality evidence OR substantial harms suggest intervention used with caution after discussion with patient…</w:t>
            </w:r>
          </w:p>
        </w:tc>
        <w:tc>
          <w:tcPr>
            <w:tcW w:w="1177" w:type="dxa"/>
          </w:tcPr>
          <w:sdt>
            <w:sdtPr>
              <w:id w:val="-1746410332"/>
              <w14:checkbox>
                <w14:checked w14:val="1"/>
                <w14:checkedState w14:val="00FE" w14:font="Wingdings"/>
                <w14:uncheckedState w14:val="2610" w14:font="MS Gothic"/>
              </w14:checkbox>
            </w:sdtPr>
            <w:sdtContent>
              <w:p w14:paraId="62531770" w14:textId="5B918594" w:rsidR="00015B8B" w:rsidRPr="00DC795D" w:rsidRDefault="001C00FA" w:rsidP="007C1A9F">
                <w:r>
                  <w:sym w:font="Wingdings" w:char="F0FE"/>
                </w:r>
              </w:p>
            </w:sdtContent>
          </w:sdt>
          <w:p w14:paraId="28B711D5" w14:textId="77777777" w:rsidR="00015B8B" w:rsidRDefault="00015B8B" w:rsidP="007C1A9F"/>
        </w:tc>
      </w:tr>
      <w:tr w:rsidR="00015B8B" w14:paraId="049400D9" w14:textId="77777777" w:rsidTr="002740DF">
        <w:tc>
          <w:tcPr>
            <w:tcW w:w="1413" w:type="dxa"/>
          </w:tcPr>
          <w:p w14:paraId="6DF15F3D" w14:textId="77777777" w:rsidR="00015B8B" w:rsidRDefault="00015B8B" w:rsidP="007C1A9F">
            <w:r w:rsidRPr="00DB3B62">
              <w:rPr>
                <w:noProof/>
                <w:lang w:eastAsia="en-GB"/>
              </w:rPr>
              <w:drawing>
                <wp:inline distT="0" distB="0" distL="0" distR="0" wp14:anchorId="061108CF" wp14:editId="3DB5CD09">
                  <wp:extent cx="668656" cy="495300"/>
                  <wp:effectExtent l="0" t="0" r="0" b="0"/>
                  <wp:docPr id="5" name="Picture 5" descr="This is a red cat with an unhappy face" title="Red c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86257" cy="508338"/>
                          </a:xfrm>
                          <a:prstGeom prst="rect">
                            <a:avLst/>
                          </a:prstGeom>
                          <a:noFill/>
                          <a:ln>
                            <a:noFill/>
                          </a:ln>
                        </pic:spPr>
                      </pic:pic>
                    </a:graphicData>
                  </a:graphic>
                </wp:inline>
              </w:drawing>
            </w:r>
          </w:p>
        </w:tc>
        <w:tc>
          <w:tcPr>
            <w:tcW w:w="5456" w:type="dxa"/>
          </w:tcPr>
          <w:p w14:paraId="5FDF8E2F" w14:textId="77777777" w:rsidR="00015B8B" w:rsidRPr="00F93FCE" w:rsidRDefault="00015B8B" w:rsidP="007C1A9F">
            <w:r w:rsidRPr="00F93FCE">
              <w:t>No good quality evidence, do not use until further research is conducted OR</w:t>
            </w:r>
          </w:p>
          <w:p w14:paraId="1E5E97FD" w14:textId="77777777" w:rsidR="00015B8B" w:rsidRPr="00F93FCE" w:rsidRDefault="00015B8B" w:rsidP="007C1A9F">
            <w:r w:rsidRPr="00F93FCE">
              <w:t>Good quality evidence to indicate that harms outweigh the benefits….</w:t>
            </w:r>
          </w:p>
        </w:tc>
        <w:tc>
          <w:tcPr>
            <w:tcW w:w="1177" w:type="dxa"/>
          </w:tcPr>
          <w:sdt>
            <w:sdtPr>
              <w:id w:val="-817964469"/>
              <w14:checkbox>
                <w14:checked w14:val="0"/>
                <w14:checkedState w14:val="00FE" w14:font="Wingdings"/>
                <w14:uncheckedState w14:val="2610" w14:font="MS Gothic"/>
              </w14:checkbox>
            </w:sdtPr>
            <w:sdtContent>
              <w:p w14:paraId="2DF98281" w14:textId="77777777" w:rsidR="00015B8B" w:rsidRPr="00DC795D" w:rsidRDefault="00015B8B" w:rsidP="007C1A9F">
                <w:r>
                  <w:rPr>
                    <w:rFonts w:ascii="MS Gothic" w:eastAsia="MS Gothic" w:hAnsi="MS Gothic" w:hint="eastAsia"/>
                  </w:rPr>
                  <w:t>☐</w:t>
                </w:r>
              </w:p>
            </w:sdtContent>
          </w:sdt>
          <w:p w14:paraId="58104E2D" w14:textId="77777777" w:rsidR="00015B8B" w:rsidRDefault="00015B8B" w:rsidP="007C1A9F"/>
        </w:tc>
      </w:tr>
    </w:tbl>
    <w:p w14:paraId="3CF138E8" w14:textId="77777777" w:rsidR="00015B8B" w:rsidRDefault="00015B8B" w:rsidP="00015B8B"/>
    <w:p w14:paraId="0D20FF57" w14:textId="77777777" w:rsidR="00EF7641" w:rsidRPr="00015B8B" w:rsidRDefault="002740DF" w:rsidP="002740DF">
      <w:pPr>
        <w:spacing w:before="100" w:beforeAutospacing="1" w:after="100" w:afterAutospacing="1" w:line="360" w:lineRule="auto"/>
        <w:rPr>
          <w:rFonts w:eastAsia="Times New Roman" w:cstheme="minorHAnsi"/>
          <w:color w:val="2C2C2B"/>
          <w:szCs w:val="24"/>
          <w:lang w:eastAsia="en-GB"/>
        </w:rPr>
      </w:pPr>
      <w:r w:rsidRPr="002740DF">
        <w:rPr>
          <w:rFonts w:eastAsia="Times New Roman" w:cstheme="minorHAnsi"/>
          <w:b/>
          <w:bCs/>
          <w:noProof/>
          <w:color w:val="2C2C2B"/>
          <w:szCs w:val="24"/>
          <w:lang w:eastAsia="en-GB"/>
        </w:rPr>
        <mc:AlternateContent>
          <mc:Choice Requires="wps">
            <w:drawing>
              <wp:inline distT="0" distB="0" distL="0" distR="0" wp14:anchorId="4321BB3B" wp14:editId="001899FC">
                <wp:extent cx="5179060" cy="1404620"/>
                <wp:effectExtent l="0" t="0" r="21590" b="25400"/>
                <wp:docPr id="6" name="Text Box 2" descr="This box contains a statement which highlights contacting health.iau@keele.ac.uk for alternative formats" title="Alternative forma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9060" cy="1404620"/>
                        </a:xfrm>
                        <a:prstGeom prst="rect">
                          <a:avLst/>
                        </a:prstGeom>
                        <a:solidFill>
                          <a:srgbClr val="FFFFFF"/>
                        </a:solidFill>
                        <a:ln w="9525">
                          <a:solidFill>
                            <a:srgbClr val="000000"/>
                          </a:solidFill>
                          <a:miter lim="800000"/>
                          <a:headEnd/>
                          <a:tailEnd/>
                        </a:ln>
                      </wps:spPr>
                      <wps:txbx>
                        <w:txbxContent>
                          <w:p w14:paraId="5F9FF5D3" w14:textId="77777777" w:rsidR="002740DF" w:rsidRDefault="002740DF">
                            <w:r>
                              <w:rPr>
                                <w:rFonts w:eastAsia="Times New Roman" w:cstheme="minorHAnsi"/>
                                <w:b/>
                                <w:bCs/>
                                <w:color w:val="2C2C2B"/>
                                <w:szCs w:val="24"/>
                                <w:lang w:eastAsia="en-GB"/>
                              </w:rPr>
                              <w:t>I</w:t>
                            </w:r>
                            <w:r w:rsidRPr="001A78A7">
                              <w:rPr>
                                <w:rFonts w:eastAsia="Times New Roman" w:cstheme="minorHAnsi"/>
                                <w:b/>
                                <w:bCs/>
                                <w:color w:val="2C2C2B"/>
                                <w:szCs w:val="24"/>
                                <w:lang w:eastAsia="en-GB"/>
                              </w:rPr>
                              <w:t xml:space="preserve">f you require this document in an alternative format, such as large print or a coloured background, please contact </w:t>
                            </w:r>
                            <w:r w:rsidRPr="002740DF">
                              <w:rPr>
                                <w:rFonts w:eastAsia="Times New Roman" w:cstheme="minorHAnsi"/>
                                <w:b/>
                                <w:bCs/>
                                <w:color w:val="000000" w:themeColor="text1"/>
                                <w:szCs w:val="24"/>
                                <w:lang w:eastAsia="en-GB"/>
                              </w:rPr>
                              <w:t>health.iau@keele.ac.uk</w:t>
                            </w:r>
                          </w:p>
                        </w:txbxContent>
                      </wps:txbx>
                      <wps:bodyPr rot="0" vert="horz" wrap="square" lIns="91440" tIns="45720" rIns="91440" bIns="45720" anchor="t" anchorCtr="0">
                        <a:spAutoFit/>
                      </wps:bodyPr>
                    </wps:wsp>
                  </a:graphicData>
                </a:graphic>
              </wp:inline>
            </w:drawing>
          </mc:Choice>
          <mc:Fallback>
            <w:pict>
              <v:shape w14:anchorId="4321BB3B" id="_x0000_s1028" type="#_x0000_t202" alt="Title: Alternative format - Description: This box contains a statement which highlights contacting health.iau@keele.ac.uk for alternative formats" style="width:407.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">
                <v:textbox style="mso-fit-shape-to-text:t">
                  <w:txbxContent>
                    <w:p w14:paraId="5F9FF5D3" w14:textId="77777777" w:rsidR="002740DF" w:rsidRDefault="002740DF">
                      <w:r>
                        <w:rPr>
                          <w:rFonts w:eastAsia="Times New Roman" w:cstheme="minorHAnsi"/>
                          <w:b/>
                          <w:bCs/>
                          <w:color w:val="2C2C2B"/>
                          <w:szCs w:val="24"/>
                          <w:lang w:eastAsia="en-GB"/>
                        </w:rPr>
                        <w:t>I</w:t>
                      </w:r>
                      <w:r w:rsidRPr="001A78A7">
                        <w:rPr>
                          <w:rFonts w:eastAsia="Times New Roman" w:cstheme="minorHAnsi"/>
                          <w:b/>
                          <w:bCs/>
                          <w:color w:val="2C2C2B"/>
                          <w:szCs w:val="24"/>
                          <w:lang w:eastAsia="en-GB"/>
                        </w:rPr>
                        <w:t xml:space="preserve">f you require this document in an alternative format, such as large print or a coloured background, please contact </w:t>
                      </w:r>
                      <w:r w:rsidRPr="002740DF">
                        <w:rPr>
                          <w:rFonts w:eastAsia="Times New Roman" w:cstheme="minorHAnsi"/>
                          <w:b/>
                          <w:bCs/>
                          <w:color w:val="000000" w:themeColor="text1"/>
                          <w:szCs w:val="24"/>
                          <w:lang w:eastAsia="en-GB"/>
                        </w:rPr>
                        <w:t>health.iau@keele.ac.uk</w:t>
                      </w:r>
                    </w:p>
                  </w:txbxContent>
                </v:textbox>
                <w10:anchorlock/>
              </v:shape>
            </w:pict>
          </mc:Fallback>
        </mc:AlternateContent>
      </w:r>
    </w:p>
    <w:p w14:paraId="45F06507" w14:textId="77777777" w:rsidR="002740DF" w:rsidRDefault="002740DF" w:rsidP="00015B8B">
      <w:pPr>
        <w:rPr>
          <w:color w:val="000000" w:themeColor="text1"/>
        </w:rPr>
      </w:pPr>
    </w:p>
    <w:p w14:paraId="32608EC4" w14:textId="77777777" w:rsidR="002740DF" w:rsidRDefault="002740DF" w:rsidP="00015B8B">
      <w:pPr>
        <w:rPr>
          <w:color w:val="000000" w:themeColor="text1"/>
        </w:rPr>
      </w:pPr>
    </w:p>
    <w:p w14:paraId="3D51CB25" w14:textId="77777777" w:rsidR="00015B8B" w:rsidRPr="00015B8B" w:rsidRDefault="00AC6E9E" w:rsidP="00015B8B">
      <w:pPr>
        <w:rPr>
          <w:color w:val="000000" w:themeColor="text1"/>
        </w:rPr>
      </w:pPr>
      <w:r>
        <w:rPr>
          <w:color w:val="000000" w:themeColor="text1"/>
        </w:rPr>
        <w:t>©Keele2024</w:t>
      </w:r>
    </w:p>
    <w:p w14:paraId="05EB3166" w14:textId="77777777" w:rsidR="00015B8B" w:rsidRDefault="00015B8B" w:rsidP="00015B8B"/>
    <w:p w14:paraId="2AD2B933" w14:textId="77777777" w:rsidR="00015B8B" w:rsidRPr="009054B8" w:rsidRDefault="00015B8B" w:rsidP="009054B8"/>
    <w:sectPr w:rsidR="00015B8B" w:rsidRPr="009054B8">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8722FC" w14:textId="77777777" w:rsidR="00946107" w:rsidRDefault="00946107" w:rsidP="00015B8B">
      <w:pPr>
        <w:spacing w:after="0" w:line="240" w:lineRule="auto"/>
      </w:pPr>
      <w:r>
        <w:separator/>
      </w:r>
    </w:p>
  </w:endnote>
  <w:endnote w:type="continuationSeparator" w:id="0">
    <w:p w14:paraId="2820AF42" w14:textId="77777777" w:rsidR="00946107" w:rsidRDefault="00946107" w:rsidP="00015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dvTT5235d5a9">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802970"/>
      <w:docPartObj>
        <w:docPartGallery w:val="Page Numbers (Bottom of Page)"/>
        <w:docPartUnique/>
      </w:docPartObj>
    </w:sdtPr>
    <w:sdtEndPr>
      <w:rPr>
        <w:noProof/>
      </w:rPr>
    </w:sdtEndPr>
    <w:sdtContent>
      <w:p w14:paraId="7ABB3508" w14:textId="20529645" w:rsidR="00015B8B" w:rsidRPr="000D0C65" w:rsidRDefault="00015B8B" w:rsidP="00015B8B">
        <w:pPr>
          <w:pStyle w:val="Footer"/>
          <w:rPr>
            <w:noProof/>
            <w:color w:val="000000" w:themeColor="text1"/>
            <w:sz w:val="20"/>
          </w:rPr>
        </w:pPr>
        <w:r w:rsidRPr="000D0C65">
          <w:rPr>
            <w:color w:val="000000" w:themeColor="text1"/>
            <w:sz w:val="20"/>
          </w:rPr>
          <w:fldChar w:fldCharType="begin"/>
        </w:r>
        <w:r w:rsidRPr="000D0C65">
          <w:rPr>
            <w:color w:val="000000" w:themeColor="text1"/>
            <w:sz w:val="20"/>
          </w:rPr>
          <w:instrText xml:space="preserve"> PAGE   \* MERGEFORMAT </w:instrText>
        </w:r>
        <w:r w:rsidRPr="000D0C65">
          <w:rPr>
            <w:color w:val="000000" w:themeColor="text1"/>
            <w:sz w:val="20"/>
          </w:rPr>
          <w:fldChar w:fldCharType="separate"/>
        </w:r>
        <w:r w:rsidR="00FD7DFF">
          <w:rPr>
            <w:noProof/>
            <w:color w:val="000000" w:themeColor="text1"/>
            <w:sz w:val="20"/>
          </w:rPr>
          <w:t>6</w:t>
        </w:r>
        <w:r w:rsidRPr="000D0C65">
          <w:rPr>
            <w:noProof/>
            <w:color w:val="000000" w:themeColor="text1"/>
            <w:sz w:val="20"/>
          </w:rPr>
          <w:fldChar w:fldCharType="end"/>
        </w:r>
        <w:r w:rsidRPr="000D0C65">
          <w:rPr>
            <w:noProof/>
            <w:color w:val="000000" w:themeColor="text1"/>
            <w:sz w:val="20"/>
          </w:rPr>
          <w:t xml:space="preserve"> </w:t>
        </w:r>
      </w:p>
      <w:p w14:paraId="7AEE8005" w14:textId="77777777" w:rsidR="00015B8B" w:rsidRPr="000D0C65" w:rsidRDefault="00AC6E9E" w:rsidP="000D0C65">
        <w:pPr>
          <w:pStyle w:val="Footer"/>
          <w:jc w:val="right"/>
          <w:rPr>
            <w:sz w:val="20"/>
          </w:rPr>
        </w:pPr>
        <w:r>
          <w:rPr>
            <w:color w:val="000000" w:themeColor="text1"/>
            <w:sz w:val="20"/>
          </w:rPr>
          <w:t>Accessible CAT Template 2024</w:t>
        </w:r>
      </w:p>
      <w:p w14:paraId="2AB2336F" w14:textId="6E8F0553" w:rsidR="00015B8B" w:rsidRPr="00B352F4" w:rsidRDefault="00BB32E8" w:rsidP="00B352F4">
        <w:pPr>
          <w:pStyle w:val="Footer"/>
          <w:jc w:val="right"/>
          <w:rPr>
            <w:sz w:val="20"/>
          </w:rPr>
        </w:pPr>
        <w:r w:rsidRPr="00BB32E8">
          <w:rPr>
            <w:sz w:val="20"/>
          </w:rPr>
          <w:t>Kirsty Thomson, Alison Morris, Elizabeth Hallam</w:t>
        </w:r>
        <w:r w:rsidR="0081693A">
          <w:rPr>
            <w:sz w:val="20"/>
          </w:rPr>
          <w:t xml:space="preserve"> &amp; Rachael Lewis.</w:t>
        </w:r>
        <w:r>
          <w:rPr>
            <w:sz w:val="20"/>
          </w:rPr>
          <w:t xml:space="preserve"> </w:t>
        </w:r>
        <w:r w:rsidR="00B352F4">
          <w:rPr>
            <w:sz w:val="20"/>
          </w:rPr>
          <w:t xml:space="preserve">Impact Accelerator Unit, </w:t>
        </w:r>
        <w:r>
          <w:rPr>
            <w:sz w:val="20"/>
          </w:rPr>
          <w:t>September 2024 and review 2027</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6FB19A" w14:textId="77777777" w:rsidR="00946107" w:rsidRDefault="00946107" w:rsidP="00015B8B">
      <w:pPr>
        <w:spacing w:after="0" w:line="240" w:lineRule="auto"/>
      </w:pPr>
      <w:r>
        <w:separator/>
      </w:r>
    </w:p>
  </w:footnote>
  <w:footnote w:type="continuationSeparator" w:id="0">
    <w:p w14:paraId="59BFC57B" w14:textId="77777777" w:rsidR="00946107" w:rsidRDefault="00946107" w:rsidP="00015B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4B8"/>
    <w:rsid w:val="00015B8B"/>
    <w:rsid w:val="00082979"/>
    <w:rsid w:val="00090B23"/>
    <w:rsid w:val="000A4FCF"/>
    <w:rsid w:val="000D0C65"/>
    <w:rsid w:val="000D5581"/>
    <w:rsid w:val="00102460"/>
    <w:rsid w:val="001220F2"/>
    <w:rsid w:val="001970FE"/>
    <w:rsid w:val="001B3262"/>
    <w:rsid w:val="001C00FA"/>
    <w:rsid w:val="001D3BBD"/>
    <w:rsid w:val="001D75FB"/>
    <w:rsid w:val="001E2F3C"/>
    <w:rsid w:val="001E617B"/>
    <w:rsid w:val="002273D6"/>
    <w:rsid w:val="00252D6F"/>
    <w:rsid w:val="002740DF"/>
    <w:rsid w:val="002E04AA"/>
    <w:rsid w:val="00322B66"/>
    <w:rsid w:val="00387A60"/>
    <w:rsid w:val="00453D0A"/>
    <w:rsid w:val="0050572F"/>
    <w:rsid w:val="00670493"/>
    <w:rsid w:val="006C5118"/>
    <w:rsid w:val="00730754"/>
    <w:rsid w:val="00754464"/>
    <w:rsid w:val="007C1A9F"/>
    <w:rsid w:val="0081693A"/>
    <w:rsid w:val="00825EC0"/>
    <w:rsid w:val="00827A4F"/>
    <w:rsid w:val="00866C61"/>
    <w:rsid w:val="008B0658"/>
    <w:rsid w:val="009054B8"/>
    <w:rsid w:val="00946107"/>
    <w:rsid w:val="009566FD"/>
    <w:rsid w:val="00964213"/>
    <w:rsid w:val="00966150"/>
    <w:rsid w:val="00A16648"/>
    <w:rsid w:val="00AA5619"/>
    <w:rsid w:val="00AC6E9E"/>
    <w:rsid w:val="00AF2D8F"/>
    <w:rsid w:val="00B352F4"/>
    <w:rsid w:val="00B41F96"/>
    <w:rsid w:val="00B515E3"/>
    <w:rsid w:val="00BB32E8"/>
    <w:rsid w:val="00BB4043"/>
    <w:rsid w:val="00BC0F16"/>
    <w:rsid w:val="00C257A1"/>
    <w:rsid w:val="00C358DE"/>
    <w:rsid w:val="00C85E01"/>
    <w:rsid w:val="00C91414"/>
    <w:rsid w:val="00D3668F"/>
    <w:rsid w:val="00D95C57"/>
    <w:rsid w:val="00DC748A"/>
    <w:rsid w:val="00DF1875"/>
    <w:rsid w:val="00DF2A98"/>
    <w:rsid w:val="00E12DF2"/>
    <w:rsid w:val="00E13AAE"/>
    <w:rsid w:val="00E14689"/>
    <w:rsid w:val="00E2374A"/>
    <w:rsid w:val="00E36B4C"/>
    <w:rsid w:val="00E6031A"/>
    <w:rsid w:val="00E6069E"/>
    <w:rsid w:val="00E82163"/>
    <w:rsid w:val="00EF7641"/>
    <w:rsid w:val="00F018D5"/>
    <w:rsid w:val="00F05E54"/>
    <w:rsid w:val="00F2055A"/>
    <w:rsid w:val="00F62174"/>
    <w:rsid w:val="00FC1735"/>
    <w:rsid w:val="00FD7D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194C62"/>
  <w15:chartTrackingRefBased/>
  <w15:docId w15:val="{2920F224-C120-4CD0-8C4A-D556CEB28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E9E"/>
    <w:rPr>
      <w:sz w:val="24"/>
    </w:rPr>
  </w:style>
  <w:style w:type="paragraph" w:styleId="Heading1">
    <w:name w:val="heading 1"/>
    <w:basedOn w:val="Normal"/>
    <w:next w:val="Normal"/>
    <w:link w:val="Heading1Char"/>
    <w:uiPriority w:val="9"/>
    <w:qFormat/>
    <w:rsid w:val="009054B8"/>
    <w:pPr>
      <w:keepNext/>
      <w:keepLines/>
      <w:spacing w:before="240" w:after="0"/>
      <w:outlineLvl w:val="0"/>
    </w:pPr>
    <w:rPr>
      <w:rFonts w:asciiTheme="majorHAnsi" w:eastAsiaTheme="majorEastAsia" w:hAnsiTheme="majorHAnsi" w:cstheme="majorBidi"/>
      <w:color w:val="4472C4" w:themeColor="accent5"/>
      <w:sz w:val="32"/>
      <w:szCs w:val="32"/>
    </w:rPr>
  </w:style>
  <w:style w:type="paragraph" w:styleId="Heading2">
    <w:name w:val="heading 2"/>
    <w:basedOn w:val="Normal"/>
    <w:next w:val="Normal"/>
    <w:link w:val="Heading2Char"/>
    <w:uiPriority w:val="9"/>
    <w:unhideWhenUsed/>
    <w:qFormat/>
    <w:rsid w:val="009054B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54B8"/>
    <w:rPr>
      <w:rFonts w:asciiTheme="majorHAnsi" w:eastAsiaTheme="majorEastAsia" w:hAnsiTheme="majorHAnsi" w:cstheme="majorBidi"/>
      <w:color w:val="4472C4" w:themeColor="accent5"/>
      <w:sz w:val="32"/>
      <w:szCs w:val="32"/>
    </w:rPr>
  </w:style>
  <w:style w:type="character" w:customStyle="1" w:styleId="Heading2Char">
    <w:name w:val="Heading 2 Char"/>
    <w:basedOn w:val="DefaultParagraphFont"/>
    <w:link w:val="Heading2"/>
    <w:uiPriority w:val="9"/>
    <w:rsid w:val="009054B8"/>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015B8B"/>
    <w:rPr>
      <w:color w:val="0563C1" w:themeColor="hyperlink"/>
      <w:u w:val="single"/>
    </w:rPr>
  </w:style>
  <w:style w:type="table" w:styleId="TableGrid">
    <w:name w:val="Table Grid"/>
    <w:basedOn w:val="TableNormal"/>
    <w:uiPriority w:val="39"/>
    <w:rsid w:val="00015B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5B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5B8B"/>
    <w:rPr>
      <w:color w:val="808080" w:themeColor="background1" w:themeShade="80"/>
    </w:rPr>
  </w:style>
  <w:style w:type="paragraph" w:styleId="Footer">
    <w:name w:val="footer"/>
    <w:basedOn w:val="Normal"/>
    <w:link w:val="FooterChar"/>
    <w:uiPriority w:val="99"/>
    <w:unhideWhenUsed/>
    <w:rsid w:val="00015B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5B8B"/>
    <w:rPr>
      <w:color w:val="808080" w:themeColor="background1" w:themeShade="80"/>
    </w:rPr>
  </w:style>
  <w:style w:type="character" w:styleId="CommentReference">
    <w:name w:val="annotation reference"/>
    <w:basedOn w:val="DefaultParagraphFont"/>
    <w:uiPriority w:val="99"/>
    <w:semiHidden/>
    <w:unhideWhenUsed/>
    <w:rsid w:val="00A16648"/>
    <w:rPr>
      <w:sz w:val="16"/>
      <w:szCs w:val="16"/>
    </w:rPr>
  </w:style>
  <w:style w:type="paragraph" w:styleId="CommentText">
    <w:name w:val="annotation text"/>
    <w:basedOn w:val="Normal"/>
    <w:link w:val="CommentTextChar"/>
    <w:uiPriority w:val="99"/>
    <w:unhideWhenUsed/>
    <w:rsid w:val="00A16648"/>
    <w:pPr>
      <w:spacing w:line="240" w:lineRule="auto"/>
    </w:pPr>
    <w:rPr>
      <w:sz w:val="20"/>
      <w:szCs w:val="20"/>
    </w:rPr>
  </w:style>
  <w:style w:type="character" w:customStyle="1" w:styleId="CommentTextChar">
    <w:name w:val="Comment Text Char"/>
    <w:basedOn w:val="DefaultParagraphFont"/>
    <w:link w:val="CommentText"/>
    <w:uiPriority w:val="99"/>
    <w:rsid w:val="00A16648"/>
    <w:rPr>
      <w:sz w:val="20"/>
      <w:szCs w:val="20"/>
    </w:rPr>
  </w:style>
  <w:style w:type="paragraph" w:styleId="CommentSubject">
    <w:name w:val="annotation subject"/>
    <w:basedOn w:val="CommentText"/>
    <w:next w:val="CommentText"/>
    <w:link w:val="CommentSubjectChar"/>
    <w:uiPriority w:val="99"/>
    <w:semiHidden/>
    <w:unhideWhenUsed/>
    <w:rsid w:val="00A16648"/>
    <w:rPr>
      <w:b/>
      <w:bCs/>
    </w:rPr>
  </w:style>
  <w:style w:type="character" w:customStyle="1" w:styleId="CommentSubjectChar">
    <w:name w:val="Comment Subject Char"/>
    <w:basedOn w:val="CommentTextChar"/>
    <w:link w:val="CommentSubject"/>
    <w:uiPriority w:val="99"/>
    <w:semiHidden/>
    <w:rsid w:val="00A16648"/>
    <w:rPr>
      <w:b/>
      <w:bCs/>
      <w:sz w:val="20"/>
      <w:szCs w:val="20"/>
    </w:rPr>
  </w:style>
  <w:style w:type="paragraph" w:styleId="BalloonText">
    <w:name w:val="Balloon Text"/>
    <w:basedOn w:val="Normal"/>
    <w:link w:val="BalloonTextChar"/>
    <w:uiPriority w:val="99"/>
    <w:semiHidden/>
    <w:unhideWhenUsed/>
    <w:rsid w:val="00BB32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32E8"/>
    <w:rPr>
      <w:rFonts w:ascii="Segoe UI" w:hAnsi="Segoe UI" w:cs="Segoe UI"/>
      <w:sz w:val="18"/>
      <w:szCs w:val="18"/>
    </w:rPr>
  </w:style>
  <w:style w:type="character" w:customStyle="1" w:styleId="ui-provider">
    <w:name w:val="ui-provider"/>
    <w:basedOn w:val="DefaultParagraphFont"/>
    <w:rsid w:val="000D55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Layout" Target="diagrams/layout1.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diagramData" Target="diagrams/data1.xml"/><Relationship Id="rId17" Type="http://schemas.openxmlformats.org/officeDocument/2006/relationships/hyperlink" Target="https://assets.publishing.service.gov.uk/media/66c8b0d0e39a8536eac052f4/assessing-fitness-to-drive-august-2024.pdf" TargetMode="Externa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0.png"/><Relationship Id="rId5" Type="http://schemas.openxmlformats.org/officeDocument/2006/relationships/settings" Target="settings.xml"/><Relationship Id="rId15" Type="http://schemas.openxmlformats.org/officeDocument/2006/relationships/diagramColors" Target="diagrams/colors1.xml"/><Relationship Id="rId10" Type="http://schemas.openxmlformats.org/officeDocument/2006/relationships/image" Target="media/image2.png"/><Relationship Id="rId19"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diagramQuickStyle" Target="diagrams/quickStyle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02B08B8-123A-40D3-9A94-EB9EF1C792F9}" type="doc">
      <dgm:prSet loTypeId="urn:microsoft.com/office/officeart/2009/3/layout/HorizontalOrganizationChart" loCatId="hierarchy" qsTypeId="urn:microsoft.com/office/officeart/2005/8/quickstyle/simple1" qsCatId="simple" csTypeId="urn:microsoft.com/office/officeart/2005/8/colors/accent1_2" csCatId="accent1" phldr="1"/>
      <dgm:spPr/>
      <dgm:t>
        <a:bodyPr/>
        <a:lstStyle/>
        <a:p>
          <a:endParaRPr lang="en-US"/>
        </a:p>
      </dgm:t>
    </dgm:pt>
    <dgm:pt modelId="{3A7EEC4C-4CB7-4360-94D8-123EA499A44B}">
      <dgm:prSet phldrT="[Text]" custT="1"/>
      <dgm:spPr/>
      <dgm:t>
        <a:bodyPr/>
        <a:lstStyle/>
        <a:p>
          <a:r>
            <a:rPr lang="en-US" sz="1100">
              <a:solidFill>
                <a:sysClr val="windowText" lastClr="000000"/>
              </a:solidFill>
            </a:rPr>
            <a:t>12 downloaded studies </a:t>
          </a:r>
        </a:p>
        <a:p>
          <a:endParaRPr lang="en-US" sz="1500"/>
        </a:p>
      </dgm:t>
    </dgm:pt>
    <dgm:pt modelId="{8BAFDFB6-0A26-4C5A-8682-01FCC5FFCF3F}" type="parTrans" cxnId="{06824076-35C8-4EAF-9FD9-AB7551D99B96}">
      <dgm:prSet/>
      <dgm:spPr/>
      <dgm:t>
        <a:bodyPr/>
        <a:lstStyle/>
        <a:p>
          <a:endParaRPr lang="en-US"/>
        </a:p>
      </dgm:t>
    </dgm:pt>
    <dgm:pt modelId="{2CFC7D15-C0FC-4B47-B60D-BC3581F28EA6}" type="sibTrans" cxnId="{06824076-35C8-4EAF-9FD9-AB7551D99B96}">
      <dgm:prSet/>
      <dgm:spPr/>
      <dgm:t>
        <a:bodyPr/>
        <a:lstStyle/>
        <a:p>
          <a:endParaRPr lang="en-US"/>
        </a:p>
      </dgm:t>
    </dgm:pt>
    <dgm:pt modelId="{4850F8DC-6F4A-4488-B417-A2D68F7FA9FD}" type="asst">
      <dgm:prSet phldrT="[Text]" custT="1"/>
      <dgm:spPr/>
      <dgm:t>
        <a:bodyPr/>
        <a:lstStyle/>
        <a:p>
          <a:r>
            <a:rPr lang="en-US" sz="1100">
              <a:solidFill>
                <a:sysClr val="windowText" lastClr="000000"/>
              </a:solidFill>
            </a:rPr>
            <a:t>3</a:t>
          </a:r>
        </a:p>
      </dgm:t>
    </dgm:pt>
    <dgm:pt modelId="{108A1D79-8D09-404A-99FB-8CF29E5C7EB0}" type="parTrans" cxnId="{BC645645-6EA5-4CC9-BC2B-32F7C8152812}">
      <dgm:prSet/>
      <dgm:spPr/>
      <dgm:t>
        <a:bodyPr/>
        <a:lstStyle/>
        <a:p>
          <a:endParaRPr lang="en-US"/>
        </a:p>
      </dgm:t>
    </dgm:pt>
    <dgm:pt modelId="{A5492C41-3687-4159-A6C5-7054BBDE5697}" type="sibTrans" cxnId="{BC645645-6EA5-4CC9-BC2B-32F7C8152812}">
      <dgm:prSet/>
      <dgm:spPr/>
      <dgm:t>
        <a:bodyPr/>
        <a:lstStyle/>
        <a:p>
          <a:endParaRPr lang="en-US"/>
        </a:p>
      </dgm:t>
    </dgm:pt>
    <dgm:pt modelId="{CEE40D42-DEED-4F30-B5E0-2A65F618E259}">
      <dgm:prSet phldrT="[Text]" custT="1"/>
      <dgm:spPr/>
      <dgm:t>
        <a:bodyPr/>
        <a:lstStyle/>
        <a:p>
          <a:r>
            <a:rPr lang="en-US" sz="1100">
              <a:solidFill>
                <a:sysClr val="windowText" lastClr="000000"/>
              </a:solidFill>
            </a:rPr>
            <a:t>2 Excluded studies</a:t>
          </a:r>
        </a:p>
        <a:p>
          <a:r>
            <a:rPr lang="en-US" sz="1100">
              <a:solidFill>
                <a:sysClr val="windowText" lastClr="000000"/>
              </a:solidFill>
            </a:rPr>
            <a:t>Did not answer  CAT</a:t>
          </a:r>
        </a:p>
      </dgm:t>
    </dgm:pt>
    <dgm:pt modelId="{C896295C-CF02-4153-B810-DE211DCDB5D0}" type="parTrans" cxnId="{66040432-DEBF-4DF1-AB9D-AFAB366C1DE8}">
      <dgm:prSet/>
      <dgm:spPr/>
      <dgm:t>
        <a:bodyPr/>
        <a:lstStyle/>
        <a:p>
          <a:endParaRPr lang="en-US"/>
        </a:p>
      </dgm:t>
    </dgm:pt>
    <dgm:pt modelId="{2B476A1D-AF3F-4D67-AED6-E3C237492E25}" type="sibTrans" cxnId="{66040432-DEBF-4DF1-AB9D-AFAB366C1DE8}">
      <dgm:prSet/>
      <dgm:spPr/>
      <dgm:t>
        <a:bodyPr/>
        <a:lstStyle/>
        <a:p>
          <a:endParaRPr lang="en-US"/>
        </a:p>
      </dgm:t>
    </dgm:pt>
    <dgm:pt modelId="{7704C091-EDAD-4C5C-8F3B-536BE328F469}">
      <dgm:prSet custT="1"/>
      <dgm:spPr/>
      <dgm:t>
        <a:bodyPr/>
        <a:lstStyle/>
        <a:p>
          <a:r>
            <a:rPr lang="en-US" sz="1100">
              <a:solidFill>
                <a:sysClr val="windowText" lastClr="000000"/>
              </a:solidFill>
            </a:rPr>
            <a:t>1 Included study </a:t>
          </a:r>
        </a:p>
      </dgm:t>
    </dgm:pt>
    <dgm:pt modelId="{0A3D9883-D776-4C81-84D1-39F2CBF7AC28}" type="parTrans" cxnId="{083ECDF7-58C2-485E-A36F-B29E09F3233A}">
      <dgm:prSet/>
      <dgm:spPr/>
      <dgm:t>
        <a:bodyPr/>
        <a:lstStyle/>
        <a:p>
          <a:endParaRPr lang="en-US"/>
        </a:p>
      </dgm:t>
    </dgm:pt>
    <dgm:pt modelId="{963D7CFE-33F9-48F2-BCF6-D6C849AECF1D}" type="sibTrans" cxnId="{083ECDF7-58C2-485E-A36F-B29E09F3233A}">
      <dgm:prSet/>
      <dgm:spPr/>
      <dgm:t>
        <a:bodyPr/>
        <a:lstStyle/>
        <a:p>
          <a:endParaRPr lang="en-US"/>
        </a:p>
      </dgm:t>
    </dgm:pt>
    <dgm:pt modelId="{C64C6039-20FB-4EA9-A12B-E6B11EC268A5}" type="pres">
      <dgm:prSet presAssocID="{502B08B8-123A-40D3-9A94-EB9EF1C792F9}" presName="hierChild1" presStyleCnt="0">
        <dgm:presLayoutVars>
          <dgm:orgChart val="1"/>
          <dgm:chPref val="1"/>
          <dgm:dir/>
          <dgm:animOne val="branch"/>
          <dgm:animLvl val="lvl"/>
          <dgm:resizeHandles/>
        </dgm:presLayoutVars>
      </dgm:prSet>
      <dgm:spPr/>
    </dgm:pt>
    <dgm:pt modelId="{B11CABB3-F8C6-440F-B4D0-331834747077}" type="pres">
      <dgm:prSet presAssocID="{3A7EEC4C-4CB7-4360-94D8-123EA499A44B}" presName="hierRoot1" presStyleCnt="0">
        <dgm:presLayoutVars>
          <dgm:hierBranch val="init"/>
        </dgm:presLayoutVars>
      </dgm:prSet>
      <dgm:spPr/>
    </dgm:pt>
    <dgm:pt modelId="{C062DCAA-1E73-4971-99A1-E280B147B735}" type="pres">
      <dgm:prSet presAssocID="{3A7EEC4C-4CB7-4360-94D8-123EA499A44B}" presName="rootComposite1" presStyleCnt="0"/>
      <dgm:spPr/>
    </dgm:pt>
    <dgm:pt modelId="{B6B40C1B-F0F6-47BB-BEE4-E9A0037BE375}" type="pres">
      <dgm:prSet presAssocID="{3A7EEC4C-4CB7-4360-94D8-123EA499A44B}" presName="rootText1" presStyleLbl="node0" presStyleIdx="0" presStyleCnt="1" custScaleY="171183">
        <dgm:presLayoutVars>
          <dgm:chPref val="3"/>
        </dgm:presLayoutVars>
      </dgm:prSet>
      <dgm:spPr/>
    </dgm:pt>
    <dgm:pt modelId="{77A06B5B-DA9A-4C92-BCE2-FD05163A8996}" type="pres">
      <dgm:prSet presAssocID="{3A7EEC4C-4CB7-4360-94D8-123EA499A44B}" presName="rootConnector1" presStyleLbl="node1" presStyleIdx="0" presStyleCnt="0"/>
      <dgm:spPr/>
    </dgm:pt>
    <dgm:pt modelId="{49C4772E-EB79-4172-BC78-33A3D93307CD}" type="pres">
      <dgm:prSet presAssocID="{3A7EEC4C-4CB7-4360-94D8-123EA499A44B}" presName="hierChild2" presStyleCnt="0"/>
      <dgm:spPr/>
    </dgm:pt>
    <dgm:pt modelId="{92D2F7EC-2E16-4D55-9FBA-5859C69E86BD}" type="pres">
      <dgm:prSet presAssocID="{0A3D9883-D776-4C81-84D1-39F2CBF7AC28}" presName="Name64" presStyleLbl="parChTrans1D2" presStyleIdx="0" presStyleCnt="3"/>
      <dgm:spPr/>
    </dgm:pt>
    <dgm:pt modelId="{8EB7D08B-D12C-43D1-A768-DC91F7DAF1D3}" type="pres">
      <dgm:prSet presAssocID="{7704C091-EDAD-4C5C-8F3B-536BE328F469}" presName="hierRoot2" presStyleCnt="0">
        <dgm:presLayoutVars>
          <dgm:hierBranch val="init"/>
        </dgm:presLayoutVars>
      </dgm:prSet>
      <dgm:spPr/>
    </dgm:pt>
    <dgm:pt modelId="{FEF2D487-17F4-4E3F-A2FA-C80538696553}" type="pres">
      <dgm:prSet presAssocID="{7704C091-EDAD-4C5C-8F3B-536BE328F469}" presName="rootComposite" presStyleCnt="0"/>
      <dgm:spPr/>
    </dgm:pt>
    <dgm:pt modelId="{FFC815E9-2F90-4B4A-AC6E-9985B883ED58}" type="pres">
      <dgm:prSet presAssocID="{7704C091-EDAD-4C5C-8F3B-536BE328F469}" presName="rootText" presStyleLbl="node2" presStyleIdx="0" presStyleCnt="2" custScaleY="181939" custLinFactNeighborX="-948">
        <dgm:presLayoutVars>
          <dgm:chPref val="3"/>
        </dgm:presLayoutVars>
      </dgm:prSet>
      <dgm:spPr/>
    </dgm:pt>
    <dgm:pt modelId="{AD06C6E7-C2E6-4A34-BF71-F554621A1E1A}" type="pres">
      <dgm:prSet presAssocID="{7704C091-EDAD-4C5C-8F3B-536BE328F469}" presName="rootConnector" presStyleLbl="node2" presStyleIdx="0" presStyleCnt="2"/>
      <dgm:spPr/>
    </dgm:pt>
    <dgm:pt modelId="{B19F9B81-1AC0-42C1-9A24-CFFFC7834C55}" type="pres">
      <dgm:prSet presAssocID="{7704C091-EDAD-4C5C-8F3B-536BE328F469}" presName="hierChild4" presStyleCnt="0"/>
      <dgm:spPr/>
    </dgm:pt>
    <dgm:pt modelId="{C8B5CBBB-2E4F-443B-B4DF-C9A36F09F4E9}" type="pres">
      <dgm:prSet presAssocID="{7704C091-EDAD-4C5C-8F3B-536BE328F469}" presName="hierChild5" presStyleCnt="0"/>
      <dgm:spPr/>
    </dgm:pt>
    <dgm:pt modelId="{810B9EC0-116C-4235-8F5C-90B46F423F0F}" type="pres">
      <dgm:prSet presAssocID="{C896295C-CF02-4153-B810-DE211DCDB5D0}" presName="Name64" presStyleLbl="parChTrans1D2" presStyleIdx="1" presStyleCnt="3"/>
      <dgm:spPr/>
    </dgm:pt>
    <dgm:pt modelId="{6F6FC33B-56F9-46E8-934B-5061777C3554}" type="pres">
      <dgm:prSet presAssocID="{CEE40D42-DEED-4F30-B5E0-2A65F618E259}" presName="hierRoot2" presStyleCnt="0">
        <dgm:presLayoutVars>
          <dgm:hierBranch val="init"/>
        </dgm:presLayoutVars>
      </dgm:prSet>
      <dgm:spPr/>
    </dgm:pt>
    <dgm:pt modelId="{1A6F910B-35F8-4D44-9402-76BD4BB9E34E}" type="pres">
      <dgm:prSet presAssocID="{CEE40D42-DEED-4F30-B5E0-2A65F618E259}" presName="rootComposite" presStyleCnt="0"/>
      <dgm:spPr/>
    </dgm:pt>
    <dgm:pt modelId="{5F07766A-20CE-4B93-9931-74BFEFD7E9E8}" type="pres">
      <dgm:prSet presAssocID="{CEE40D42-DEED-4F30-B5E0-2A65F618E259}" presName="rootText" presStyleLbl="node2" presStyleIdx="1" presStyleCnt="2" custScaleX="99028" custScaleY="213378">
        <dgm:presLayoutVars>
          <dgm:chPref val="3"/>
        </dgm:presLayoutVars>
      </dgm:prSet>
      <dgm:spPr/>
    </dgm:pt>
    <dgm:pt modelId="{7DC4131A-0917-4B40-9C99-141C7077DBD7}" type="pres">
      <dgm:prSet presAssocID="{CEE40D42-DEED-4F30-B5E0-2A65F618E259}" presName="rootConnector" presStyleLbl="node2" presStyleIdx="1" presStyleCnt="2"/>
      <dgm:spPr/>
    </dgm:pt>
    <dgm:pt modelId="{1D29FCBD-8B4C-4DBF-8A9C-005A93D259EC}" type="pres">
      <dgm:prSet presAssocID="{CEE40D42-DEED-4F30-B5E0-2A65F618E259}" presName="hierChild4" presStyleCnt="0"/>
      <dgm:spPr/>
    </dgm:pt>
    <dgm:pt modelId="{611840C4-D7C6-4BEF-9354-2DB9E1E56244}" type="pres">
      <dgm:prSet presAssocID="{CEE40D42-DEED-4F30-B5E0-2A65F618E259}" presName="hierChild5" presStyleCnt="0"/>
      <dgm:spPr/>
    </dgm:pt>
    <dgm:pt modelId="{F71C516B-ABCD-4862-AA84-CC6BABBCC801}" type="pres">
      <dgm:prSet presAssocID="{3A7EEC4C-4CB7-4360-94D8-123EA499A44B}" presName="hierChild3" presStyleCnt="0"/>
      <dgm:spPr/>
    </dgm:pt>
    <dgm:pt modelId="{585924B9-7A3A-4B4E-8FAA-AC2B73F4CC5A}" type="pres">
      <dgm:prSet presAssocID="{108A1D79-8D09-404A-99FB-8CF29E5C7EB0}" presName="Name115" presStyleLbl="parChTrans1D2" presStyleIdx="2" presStyleCnt="3"/>
      <dgm:spPr/>
    </dgm:pt>
    <dgm:pt modelId="{406043BE-9274-4F88-96AE-DA3C2EF21963}" type="pres">
      <dgm:prSet presAssocID="{4850F8DC-6F4A-4488-B417-A2D68F7FA9FD}" presName="hierRoot3" presStyleCnt="0">
        <dgm:presLayoutVars>
          <dgm:hierBranch val="init"/>
        </dgm:presLayoutVars>
      </dgm:prSet>
      <dgm:spPr/>
    </dgm:pt>
    <dgm:pt modelId="{9DA8B799-0889-48FE-AF5E-6FA4964CAFF2}" type="pres">
      <dgm:prSet presAssocID="{4850F8DC-6F4A-4488-B417-A2D68F7FA9FD}" presName="rootComposite3" presStyleCnt="0"/>
      <dgm:spPr/>
    </dgm:pt>
    <dgm:pt modelId="{85E892A9-C142-4312-8152-FDD85C0D1E22}" type="pres">
      <dgm:prSet presAssocID="{4850F8DC-6F4A-4488-B417-A2D68F7FA9FD}" presName="rootText3" presStyleLbl="asst1" presStyleIdx="0" presStyleCnt="1" custScaleY="154502">
        <dgm:presLayoutVars>
          <dgm:chPref val="3"/>
        </dgm:presLayoutVars>
      </dgm:prSet>
      <dgm:spPr/>
    </dgm:pt>
    <dgm:pt modelId="{11741E50-3027-43DA-AD3A-B1C5371D47C5}" type="pres">
      <dgm:prSet presAssocID="{4850F8DC-6F4A-4488-B417-A2D68F7FA9FD}" presName="rootConnector3" presStyleLbl="asst1" presStyleIdx="0" presStyleCnt="1"/>
      <dgm:spPr/>
    </dgm:pt>
    <dgm:pt modelId="{798311EC-2766-4BE5-BEE7-294468B399E3}" type="pres">
      <dgm:prSet presAssocID="{4850F8DC-6F4A-4488-B417-A2D68F7FA9FD}" presName="hierChild6" presStyleCnt="0"/>
      <dgm:spPr/>
    </dgm:pt>
    <dgm:pt modelId="{B8EED0FB-FF91-408F-9845-62120764BBFB}" type="pres">
      <dgm:prSet presAssocID="{4850F8DC-6F4A-4488-B417-A2D68F7FA9FD}" presName="hierChild7" presStyleCnt="0"/>
      <dgm:spPr/>
    </dgm:pt>
  </dgm:ptLst>
  <dgm:cxnLst>
    <dgm:cxn modelId="{B0237902-F8E4-4150-A887-55586440D42F}" type="presOf" srcId="{CEE40D42-DEED-4F30-B5E0-2A65F618E259}" destId="{5F07766A-20CE-4B93-9931-74BFEFD7E9E8}" srcOrd="0" destOrd="0" presId="urn:microsoft.com/office/officeart/2009/3/layout/HorizontalOrganizationChart"/>
    <dgm:cxn modelId="{C5418004-DA5C-47D0-963E-13CCEFF3200C}" type="presOf" srcId="{502B08B8-123A-40D3-9A94-EB9EF1C792F9}" destId="{C64C6039-20FB-4EA9-A12B-E6B11EC268A5}" srcOrd="0" destOrd="0" presId="urn:microsoft.com/office/officeart/2009/3/layout/HorizontalOrganizationChart"/>
    <dgm:cxn modelId="{6B4BD030-2840-48A5-B101-FC51EB3379C2}" type="presOf" srcId="{CEE40D42-DEED-4F30-B5E0-2A65F618E259}" destId="{7DC4131A-0917-4B40-9C99-141C7077DBD7}" srcOrd="1" destOrd="0" presId="urn:microsoft.com/office/officeart/2009/3/layout/HorizontalOrganizationChart"/>
    <dgm:cxn modelId="{66040432-DEBF-4DF1-AB9D-AFAB366C1DE8}" srcId="{3A7EEC4C-4CB7-4360-94D8-123EA499A44B}" destId="{CEE40D42-DEED-4F30-B5E0-2A65F618E259}" srcOrd="2" destOrd="0" parTransId="{C896295C-CF02-4153-B810-DE211DCDB5D0}" sibTransId="{2B476A1D-AF3F-4D67-AED6-E3C237492E25}"/>
    <dgm:cxn modelId="{26009138-5B44-4BE5-8F46-88A6F5775921}" type="presOf" srcId="{7704C091-EDAD-4C5C-8F3B-536BE328F469}" destId="{FFC815E9-2F90-4B4A-AC6E-9985B883ED58}" srcOrd="0" destOrd="0" presId="urn:microsoft.com/office/officeart/2009/3/layout/HorizontalOrganizationChart"/>
    <dgm:cxn modelId="{C22CE15D-D880-4CB8-924A-4692397DCA9F}" type="presOf" srcId="{7704C091-EDAD-4C5C-8F3B-536BE328F469}" destId="{AD06C6E7-C2E6-4A34-BF71-F554621A1E1A}" srcOrd="1" destOrd="0" presId="urn:microsoft.com/office/officeart/2009/3/layout/HorizontalOrganizationChart"/>
    <dgm:cxn modelId="{ADB0385F-690F-429A-B750-6AD936F7DF97}" type="presOf" srcId="{3A7EEC4C-4CB7-4360-94D8-123EA499A44B}" destId="{77A06B5B-DA9A-4C92-BCE2-FD05163A8996}" srcOrd="1" destOrd="0" presId="urn:microsoft.com/office/officeart/2009/3/layout/HorizontalOrganizationChart"/>
    <dgm:cxn modelId="{BC645645-6EA5-4CC9-BC2B-32F7C8152812}" srcId="{3A7EEC4C-4CB7-4360-94D8-123EA499A44B}" destId="{4850F8DC-6F4A-4488-B417-A2D68F7FA9FD}" srcOrd="0" destOrd="0" parTransId="{108A1D79-8D09-404A-99FB-8CF29E5C7EB0}" sibTransId="{A5492C41-3687-4159-A6C5-7054BBDE5697}"/>
    <dgm:cxn modelId="{06824076-35C8-4EAF-9FD9-AB7551D99B96}" srcId="{502B08B8-123A-40D3-9A94-EB9EF1C792F9}" destId="{3A7EEC4C-4CB7-4360-94D8-123EA499A44B}" srcOrd="0" destOrd="0" parTransId="{8BAFDFB6-0A26-4C5A-8682-01FCC5FFCF3F}" sibTransId="{2CFC7D15-C0FC-4B47-B60D-BC3581F28EA6}"/>
    <dgm:cxn modelId="{7EA0FC7B-FD67-4777-9397-2673F6F49B28}" type="presOf" srcId="{4850F8DC-6F4A-4488-B417-A2D68F7FA9FD}" destId="{85E892A9-C142-4312-8152-FDD85C0D1E22}" srcOrd="0" destOrd="0" presId="urn:microsoft.com/office/officeart/2009/3/layout/HorizontalOrganizationChart"/>
    <dgm:cxn modelId="{5336A388-3D3C-4B97-9132-28F7C1DA1E09}" type="presOf" srcId="{0A3D9883-D776-4C81-84D1-39F2CBF7AC28}" destId="{92D2F7EC-2E16-4D55-9FBA-5859C69E86BD}" srcOrd="0" destOrd="0" presId="urn:microsoft.com/office/officeart/2009/3/layout/HorizontalOrganizationChart"/>
    <dgm:cxn modelId="{B2BC0B8F-BD55-431E-8498-D8A3BC2F2974}" type="presOf" srcId="{C896295C-CF02-4153-B810-DE211DCDB5D0}" destId="{810B9EC0-116C-4235-8F5C-90B46F423F0F}" srcOrd="0" destOrd="0" presId="urn:microsoft.com/office/officeart/2009/3/layout/HorizontalOrganizationChart"/>
    <dgm:cxn modelId="{294A75B9-A07F-4531-9BC0-86F796285FAC}" type="presOf" srcId="{3A7EEC4C-4CB7-4360-94D8-123EA499A44B}" destId="{B6B40C1B-F0F6-47BB-BEE4-E9A0037BE375}" srcOrd="0" destOrd="0" presId="urn:microsoft.com/office/officeart/2009/3/layout/HorizontalOrganizationChart"/>
    <dgm:cxn modelId="{92E56DC7-784F-4CFE-BFE1-AEDED0974F41}" type="presOf" srcId="{4850F8DC-6F4A-4488-B417-A2D68F7FA9FD}" destId="{11741E50-3027-43DA-AD3A-B1C5371D47C5}" srcOrd="1" destOrd="0" presId="urn:microsoft.com/office/officeart/2009/3/layout/HorizontalOrganizationChart"/>
    <dgm:cxn modelId="{B4D121CE-D3E1-4FDA-A0D7-33362C341A4D}" type="presOf" srcId="{108A1D79-8D09-404A-99FB-8CF29E5C7EB0}" destId="{585924B9-7A3A-4B4E-8FAA-AC2B73F4CC5A}" srcOrd="0" destOrd="0" presId="urn:microsoft.com/office/officeart/2009/3/layout/HorizontalOrganizationChart"/>
    <dgm:cxn modelId="{083ECDF7-58C2-485E-A36F-B29E09F3233A}" srcId="{3A7EEC4C-4CB7-4360-94D8-123EA499A44B}" destId="{7704C091-EDAD-4C5C-8F3B-536BE328F469}" srcOrd="1" destOrd="0" parTransId="{0A3D9883-D776-4C81-84D1-39F2CBF7AC28}" sibTransId="{963D7CFE-33F9-48F2-BCF6-D6C849AECF1D}"/>
    <dgm:cxn modelId="{69E47E45-0AB4-45DF-8777-595BEF0AEC57}" type="presParOf" srcId="{C64C6039-20FB-4EA9-A12B-E6B11EC268A5}" destId="{B11CABB3-F8C6-440F-B4D0-331834747077}" srcOrd="0" destOrd="0" presId="urn:microsoft.com/office/officeart/2009/3/layout/HorizontalOrganizationChart"/>
    <dgm:cxn modelId="{4DCBF870-585B-45AD-95F1-1DC91B7F1941}" type="presParOf" srcId="{B11CABB3-F8C6-440F-B4D0-331834747077}" destId="{C062DCAA-1E73-4971-99A1-E280B147B735}" srcOrd="0" destOrd="0" presId="urn:microsoft.com/office/officeart/2009/3/layout/HorizontalOrganizationChart"/>
    <dgm:cxn modelId="{3C75CE9B-DD1F-4E58-ACE8-BC373511D20F}" type="presParOf" srcId="{C062DCAA-1E73-4971-99A1-E280B147B735}" destId="{B6B40C1B-F0F6-47BB-BEE4-E9A0037BE375}" srcOrd="0" destOrd="0" presId="urn:microsoft.com/office/officeart/2009/3/layout/HorizontalOrganizationChart"/>
    <dgm:cxn modelId="{BDA70034-3659-4A65-A6B1-120C44378942}" type="presParOf" srcId="{C062DCAA-1E73-4971-99A1-E280B147B735}" destId="{77A06B5B-DA9A-4C92-BCE2-FD05163A8996}" srcOrd="1" destOrd="0" presId="urn:microsoft.com/office/officeart/2009/3/layout/HorizontalOrganizationChart"/>
    <dgm:cxn modelId="{223E14E8-CFF3-44A8-A6B0-287C5B9280FF}" type="presParOf" srcId="{B11CABB3-F8C6-440F-B4D0-331834747077}" destId="{49C4772E-EB79-4172-BC78-33A3D93307CD}" srcOrd="1" destOrd="0" presId="urn:microsoft.com/office/officeart/2009/3/layout/HorizontalOrganizationChart"/>
    <dgm:cxn modelId="{2E416AEB-E8CB-44C7-9016-AB472AA5B859}" type="presParOf" srcId="{49C4772E-EB79-4172-BC78-33A3D93307CD}" destId="{92D2F7EC-2E16-4D55-9FBA-5859C69E86BD}" srcOrd="0" destOrd="0" presId="urn:microsoft.com/office/officeart/2009/3/layout/HorizontalOrganizationChart"/>
    <dgm:cxn modelId="{FA6BB52E-E355-4EDC-B412-3533048F2837}" type="presParOf" srcId="{49C4772E-EB79-4172-BC78-33A3D93307CD}" destId="{8EB7D08B-D12C-43D1-A768-DC91F7DAF1D3}" srcOrd="1" destOrd="0" presId="urn:microsoft.com/office/officeart/2009/3/layout/HorizontalOrganizationChart"/>
    <dgm:cxn modelId="{D579E1F5-D06F-4016-99CC-FA02E19BB4C3}" type="presParOf" srcId="{8EB7D08B-D12C-43D1-A768-DC91F7DAF1D3}" destId="{FEF2D487-17F4-4E3F-A2FA-C80538696553}" srcOrd="0" destOrd="0" presId="urn:microsoft.com/office/officeart/2009/3/layout/HorizontalOrganizationChart"/>
    <dgm:cxn modelId="{A37D5F55-4D3F-4669-B163-6A4F39E0691C}" type="presParOf" srcId="{FEF2D487-17F4-4E3F-A2FA-C80538696553}" destId="{FFC815E9-2F90-4B4A-AC6E-9985B883ED58}" srcOrd="0" destOrd="0" presId="urn:microsoft.com/office/officeart/2009/3/layout/HorizontalOrganizationChart"/>
    <dgm:cxn modelId="{823029C0-ABED-4ECC-9E45-B97FC2695DE5}" type="presParOf" srcId="{FEF2D487-17F4-4E3F-A2FA-C80538696553}" destId="{AD06C6E7-C2E6-4A34-BF71-F554621A1E1A}" srcOrd="1" destOrd="0" presId="urn:microsoft.com/office/officeart/2009/3/layout/HorizontalOrganizationChart"/>
    <dgm:cxn modelId="{DFFA61E6-2A8B-456E-9C94-EB71B647300A}" type="presParOf" srcId="{8EB7D08B-D12C-43D1-A768-DC91F7DAF1D3}" destId="{B19F9B81-1AC0-42C1-9A24-CFFFC7834C55}" srcOrd="1" destOrd="0" presId="urn:microsoft.com/office/officeart/2009/3/layout/HorizontalOrganizationChart"/>
    <dgm:cxn modelId="{70C82847-899D-416A-B06F-387F6ED78057}" type="presParOf" srcId="{8EB7D08B-D12C-43D1-A768-DC91F7DAF1D3}" destId="{C8B5CBBB-2E4F-443B-B4DF-C9A36F09F4E9}" srcOrd="2" destOrd="0" presId="urn:microsoft.com/office/officeart/2009/3/layout/HorizontalOrganizationChart"/>
    <dgm:cxn modelId="{68EB4C1F-D19C-4A88-9380-B54D9C39B50C}" type="presParOf" srcId="{49C4772E-EB79-4172-BC78-33A3D93307CD}" destId="{810B9EC0-116C-4235-8F5C-90B46F423F0F}" srcOrd="2" destOrd="0" presId="urn:microsoft.com/office/officeart/2009/3/layout/HorizontalOrganizationChart"/>
    <dgm:cxn modelId="{B6C174BD-B747-4E19-88CD-4CC191B16ED7}" type="presParOf" srcId="{49C4772E-EB79-4172-BC78-33A3D93307CD}" destId="{6F6FC33B-56F9-46E8-934B-5061777C3554}" srcOrd="3" destOrd="0" presId="urn:microsoft.com/office/officeart/2009/3/layout/HorizontalOrganizationChart"/>
    <dgm:cxn modelId="{2F900585-7CDE-4BD2-BB6A-A004C86DFCDD}" type="presParOf" srcId="{6F6FC33B-56F9-46E8-934B-5061777C3554}" destId="{1A6F910B-35F8-4D44-9402-76BD4BB9E34E}" srcOrd="0" destOrd="0" presId="urn:microsoft.com/office/officeart/2009/3/layout/HorizontalOrganizationChart"/>
    <dgm:cxn modelId="{98D4D62B-BE00-4126-84A4-8C9F9F2F09FB}" type="presParOf" srcId="{1A6F910B-35F8-4D44-9402-76BD4BB9E34E}" destId="{5F07766A-20CE-4B93-9931-74BFEFD7E9E8}" srcOrd="0" destOrd="0" presId="urn:microsoft.com/office/officeart/2009/3/layout/HorizontalOrganizationChart"/>
    <dgm:cxn modelId="{C4599C01-B069-4710-9D54-8620A7DFED35}" type="presParOf" srcId="{1A6F910B-35F8-4D44-9402-76BD4BB9E34E}" destId="{7DC4131A-0917-4B40-9C99-141C7077DBD7}" srcOrd="1" destOrd="0" presId="urn:microsoft.com/office/officeart/2009/3/layout/HorizontalOrganizationChart"/>
    <dgm:cxn modelId="{0387D8B7-8C8C-4745-910B-80B47AF67E15}" type="presParOf" srcId="{6F6FC33B-56F9-46E8-934B-5061777C3554}" destId="{1D29FCBD-8B4C-4DBF-8A9C-005A93D259EC}" srcOrd="1" destOrd="0" presId="urn:microsoft.com/office/officeart/2009/3/layout/HorizontalOrganizationChart"/>
    <dgm:cxn modelId="{14CC732A-BAA9-477E-8AED-0001FBD773EA}" type="presParOf" srcId="{6F6FC33B-56F9-46E8-934B-5061777C3554}" destId="{611840C4-D7C6-4BEF-9354-2DB9E1E56244}" srcOrd="2" destOrd="0" presId="urn:microsoft.com/office/officeart/2009/3/layout/HorizontalOrganizationChart"/>
    <dgm:cxn modelId="{D78575BD-67DE-4C5F-BAD3-02A707FBF158}" type="presParOf" srcId="{B11CABB3-F8C6-440F-B4D0-331834747077}" destId="{F71C516B-ABCD-4862-AA84-CC6BABBCC801}" srcOrd="2" destOrd="0" presId="urn:microsoft.com/office/officeart/2009/3/layout/HorizontalOrganizationChart"/>
    <dgm:cxn modelId="{E6F73671-7F71-4887-BC92-FA91B24C9320}" type="presParOf" srcId="{F71C516B-ABCD-4862-AA84-CC6BABBCC801}" destId="{585924B9-7A3A-4B4E-8FAA-AC2B73F4CC5A}" srcOrd="0" destOrd="0" presId="urn:microsoft.com/office/officeart/2009/3/layout/HorizontalOrganizationChart"/>
    <dgm:cxn modelId="{042C2482-911E-4A98-B060-94FEC381F2E2}" type="presParOf" srcId="{F71C516B-ABCD-4862-AA84-CC6BABBCC801}" destId="{406043BE-9274-4F88-96AE-DA3C2EF21963}" srcOrd="1" destOrd="0" presId="urn:microsoft.com/office/officeart/2009/3/layout/HorizontalOrganizationChart"/>
    <dgm:cxn modelId="{39C263F8-A04A-4714-BA0A-2EC84D53FB4A}" type="presParOf" srcId="{406043BE-9274-4F88-96AE-DA3C2EF21963}" destId="{9DA8B799-0889-48FE-AF5E-6FA4964CAFF2}" srcOrd="0" destOrd="0" presId="urn:microsoft.com/office/officeart/2009/3/layout/HorizontalOrganizationChart"/>
    <dgm:cxn modelId="{AA884578-38F7-4A7F-8930-290547AF4009}" type="presParOf" srcId="{9DA8B799-0889-48FE-AF5E-6FA4964CAFF2}" destId="{85E892A9-C142-4312-8152-FDD85C0D1E22}" srcOrd="0" destOrd="0" presId="urn:microsoft.com/office/officeart/2009/3/layout/HorizontalOrganizationChart"/>
    <dgm:cxn modelId="{4D270366-84FB-4259-917F-7EAD5F6A66FE}" type="presParOf" srcId="{9DA8B799-0889-48FE-AF5E-6FA4964CAFF2}" destId="{11741E50-3027-43DA-AD3A-B1C5371D47C5}" srcOrd="1" destOrd="0" presId="urn:microsoft.com/office/officeart/2009/3/layout/HorizontalOrganizationChart"/>
    <dgm:cxn modelId="{5B9B90ED-10C7-4BE0-8707-5E29E9160300}" type="presParOf" srcId="{406043BE-9274-4F88-96AE-DA3C2EF21963}" destId="{798311EC-2766-4BE5-BEE7-294468B399E3}" srcOrd="1" destOrd="0" presId="urn:microsoft.com/office/officeart/2009/3/layout/HorizontalOrganizationChart"/>
    <dgm:cxn modelId="{10045F53-C84C-4C6A-9499-E988101630EE}" type="presParOf" srcId="{406043BE-9274-4F88-96AE-DA3C2EF21963}" destId="{B8EED0FB-FF91-408F-9845-62120764BBFB}" srcOrd="2" destOrd="0" presId="urn:microsoft.com/office/officeart/2009/3/layout/HorizontalOrganizationChart"/>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85924B9-7A3A-4B4E-8FAA-AC2B73F4CC5A}">
      <dsp:nvSpPr>
        <dsp:cNvPr id="0" name=""/>
        <dsp:cNvSpPr/>
      </dsp:nvSpPr>
      <dsp:spPr>
        <a:xfrm>
          <a:off x="1509059" y="1858969"/>
          <a:ext cx="1054917" cy="94189"/>
        </a:xfrm>
        <a:custGeom>
          <a:avLst/>
          <a:gdLst/>
          <a:ahLst/>
          <a:cxnLst/>
          <a:rect l="0" t="0" r="0" b="0"/>
          <a:pathLst>
            <a:path>
              <a:moveTo>
                <a:pt x="0" y="94189"/>
              </a:moveTo>
              <a:lnTo>
                <a:pt x="1054917" y="94189"/>
              </a:lnTo>
              <a:lnTo>
                <a:pt x="1054917"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10B9EC0-116C-4235-8F5C-90B46F423F0F}">
      <dsp:nvSpPr>
        <dsp:cNvPr id="0" name=""/>
        <dsp:cNvSpPr/>
      </dsp:nvSpPr>
      <dsp:spPr>
        <a:xfrm>
          <a:off x="1509059" y="1953158"/>
          <a:ext cx="2109835" cy="512323"/>
        </a:xfrm>
        <a:custGeom>
          <a:avLst/>
          <a:gdLst/>
          <a:ahLst/>
          <a:cxnLst/>
          <a:rect l="0" t="0" r="0" b="0"/>
          <a:pathLst>
            <a:path>
              <a:moveTo>
                <a:pt x="0" y="0"/>
              </a:moveTo>
              <a:lnTo>
                <a:pt x="1959132" y="0"/>
              </a:lnTo>
              <a:lnTo>
                <a:pt x="1959132" y="512323"/>
              </a:lnTo>
              <a:lnTo>
                <a:pt x="2109835" y="51232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2D2F7EC-2E16-4D55-9FBA-5859C69E86BD}">
      <dsp:nvSpPr>
        <dsp:cNvPr id="0" name=""/>
        <dsp:cNvSpPr/>
      </dsp:nvSpPr>
      <dsp:spPr>
        <a:xfrm>
          <a:off x="1509059" y="1368581"/>
          <a:ext cx="2095548" cy="584577"/>
        </a:xfrm>
        <a:custGeom>
          <a:avLst/>
          <a:gdLst/>
          <a:ahLst/>
          <a:cxnLst/>
          <a:rect l="0" t="0" r="0" b="0"/>
          <a:pathLst>
            <a:path>
              <a:moveTo>
                <a:pt x="0" y="584577"/>
              </a:moveTo>
              <a:lnTo>
                <a:pt x="1944846" y="584577"/>
              </a:lnTo>
              <a:lnTo>
                <a:pt x="1944846" y="0"/>
              </a:lnTo>
              <a:lnTo>
                <a:pt x="2095548"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6B40C1B-F0F6-47BB-BEE4-E9A0037BE375}">
      <dsp:nvSpPr>
        <dsp:cNvPr id="0" name=""/>
        <dsp:cNvSpPr/>
      </dsp:nvSpPr>
      <dsp:spPr>
        <a:xfrm>
          <a:off x="2034" y="1559743"/>
          <a:ext cx="1507025" cy="78683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solidFill>
            </a:rPr>
            <a:t>12 downloaded studies </a:t>
          </a:r>
        </a:p>
        <a:p>
          <a:pPr marL="0" lvl="0" indent="0" algn="ctr" defTabSz="488950">
            <a:lnSpc>
              <a:spcPct val="90000"/>
            </a:lnSpc>
            <a:spcBef>
              <a:spcPct val="0"/>
            </a:spcBef>
            <a:spcAft>
              <a:spcPct val="35000"/>
            </a:spcAft>
            <a:buNone/>
          </a:pPr>
          <a:endParaRPr lang="en-US" sz="1500" kern="1200"/>
        </a:p>
      </dsp:txBody>
      <dsp:txXfrm>
        <a:off x="2034" y="1559743"/>
        <a:ext cx="1507025" cy="786830"/>
      </dsp:txXfrm>
    </dsp:sp>
    <dsp:sp modelId="{FFC815E9-2F90-4B4A-AC6E-9985B883ED58}">
      <dsp:nvSpPr>
        <dsp:cNvPr id="0" name=""/>
        <dsp:cNvSpPr/>
      </dsp:nvSpPr>
      <dsp:spPr>
        <a:xfrm>
          <a:off x="3604608" y="950446"/>
          <a:ext cx="1507025" cy="83626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solidFill>
            </a:rPr>
            <a:t>1 Included study </a:t>
          </a:r>
        </a:p>
      </dsp:txBody>
      <dsp:txXfrm>
        <a:off x="3604608" y="950446"/>
        <a:ext cx="1507025" cy="836269"/>
      </dsp:txXfrm>
    </dsp:sp>
    <dsp:sp modelId="{5F07766A-20CE-4B93-9931-74BFEFD7E9E8}">
      <dsp:nvSpPr>
        <dsp:cNvPr id="0" name=""/>
        <dsp:cNvSpPr/>
      </dsp:nvSpPr>
      <dsp:spPr>
        <a:xfrm>
          <a:off x="3618895" y="1975094"/>
          <a:ext cx="1492377" cy="9807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solidFill>
            </a:rPr>
            <a:t>2 Excluded studies</a:t>
          </a:r>
        </a:p>
        <a:p>
          <a:pPr marL="0" lvl="0" indent="0" algn="ctr" defTabSz="488950">
            <a:lnSpc>
              <a:spcPct val="90000"/>
            </a:lnSpc>
            <a:spcBef>
              <a:spcPct val="0"/>
            </a:spcBef>
            <a:spcAft>
              <a:spcPct val="35000"/>
            </a:spcAft>
            <a:buNone/>
          </a:pPr>
          <a:r>
            <a:rPr lang="en-US" sz="1100" kern="1200">
              <a:solidFill>
                <a:sysClr val="windowText" lastClr="000000"/>
              </a:solidFill>
            </a:rPr>
            <a:t>Did not answer  CAT</a:t>
          </a:r>
        </a:p>
      </dsp:txBody>
      <dsp:txXfrm>
        <a:off x="3618895" y="1975094"/>
        <a:ext cx="1492377" cy="980776"/>
      </dsp:txXfrm>
    </dsp:sp>
    <dsp:sp modelId="{85E892A9-C142-4312-8152-FDD85C0D1E22}">
      <dsp:nvSpPr>
        <dsp:cNvPr id="0" name=""/>
        <dsp:cNvSpPr/>
      </dsp:nvSpPr>
      <dsp:spPr>
        <a:xfrm>
          <a:off x="1810464" y="1148812"/>
          <a:ext cx="1507025" cy="71015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solidFill>
            </a:rPr>
            <a:t>3</a:t>
          </a:r>
        </a:p>
      </dsp:txBody>
      <dsp:txXfrm>
        <a:off x="1810464" y="1148812"/>
        <a:ext cx="1507025" cy="710157"/>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ab4a2fa-68b9-4485-aff2-3331abf50ea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CBBE6415611D4DB075B523C9CEA97B" ma:contentTypeVersion="16" ma:contentTypeDescription="Create a new document." ma:contentTypeScope="" ma:versionID="cd2aa89725e8e77f5a06852481257377">
  <xsd:schema xmlns:xsd="http://www.w3.org/2001/XMLSchema" xmlns:xs="http://www.w3.org/2001/XMLSchema" xmlns:p="http://schemas.microsoft.com/office/2006/metadata/properties" xmlns:ns3="3960ddbc-2c08-489f-be97-985ac3e83d0c" xmlns:ns4="6ab4a2fa-68b9-4485-aff2-3331abf50ea9" targetNamespace="http://schemas.microsoft.com/office/2006/metadata/properties" ma:root="true" ma:fieldsID="28aea25400913e70e6b618fd408650de" ns3:_="" ns4:_="">
    <xsd:import namespace="3960ddbc-2c08-489f-be97-985ac3e83d0c"/>
    <xsd:import namespace="6ab4a2fa-68b9-4485-aff2-3331abf50ea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KeyPoints" minOccurs="0"/>
                <xsd:element ref="ns4:MediaServiceKeyPoints" minOccurs="0"/>
                <xsd:element ref="ns4:_activity" minOccurs="0"/>
                <xsd:element ref="ns4:MediaServiceAutoTags" minOccurs="0"/>
                <xsd:element ref="ns4:MediaServiceObjectDetectorVersions" minOccurs="0"/>
                <xsd:element ref="ns4:MediaServiceSystemTags" minOccurs="0"/>
                <xsd:element ref="ns4:MediaServiceGenerationTime" minOccurs="0"/>
                <xsd:element ref="ns4:MediaServiceEventHashCode"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60ddbc-2c08-489f-be97-985ac3e83d0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b4a2fa-68b9-4485-aff2-3331abf50ea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49C88C-CA09-46D8-8E01-003EB0171DA7}">
  <ds:schemaRefs>
    <ds:schemaRef ds:uri="http://schemas.microsoft.com/office/2006/metadata/properties"/>
    <ds:schemaRef ds:uri="http://schemas.microsoft.com/office/infopath/2007/PartnerControls"/>
    <ds:schemaRef ds:uri="6ab4a2fa-68b9-4485-aff2-3331abf50ea9"/>
  </ds:schemaRefs>
</ds:datastoreItem>
</file>

<file path=customXml/itemProps2.xml><?xml version="1.0" encoding="utf-8"?>
<ds:datastoreItem xmlns:ds="http://schemas.openxmlformats.org/officeDocument/2006/customXml" ds:itemID="{47835E4F-5AAE-42D4-89E5-9444C9909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60ddbc-2c08-489f-be97-985ac3e83d0c"/>
    <ds:schemaRef ds:uri="6ab4a2fa-68b9-4485-aff2-3331abf50e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F78429-F920-4356-8E18-AB063B94C6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1099</Words>
  <Characters>6269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Campbell</dc:creator>
  <cp:keywords/>
  <dc:description/>
  <cp:lastModifiedBy>Jo Mullen-Jones</cp:lastModifiedBy>
  <cp:revision>3</cp:revision>
  <dcterms:created xsi:type="dcterms:W3CDTF">2024-10-24T09:32:00Z</dcterms:created>
  <dcterms:modified xsi:type="dcterms:W3CDTF">2024-10-28T11:06:00Z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0x01010087CBBE6415611D4DB075B523C9CEA97B</vt:lpwstr>
  </property>
</Properties>
</file>